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  <w:bookmarkStart w:id="1" w:name="_GoBack"/>
      <w:bookmarkEnd w:id="1"/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widowControl w:val="0"/>
              <w:tabs>
                <w:tab w:leader="none" w:pos="2089" w:val="center"/>
              </w:tabs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Порядка предоставления в 2023 году обществу с ограниченной ответственностью «Голубая Лагуна» субсидии из краевого бюджета в целях возмещения затрат, связанных с возведением временного глемпингового лагеря для проведения ежегодного Всероссийского молодежного экологического форума «Экосистема. Заповедный край» в 2023 году» на территории гостиничного комплекса «Лагуна»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line="240" w:lineRule="auto"/>
        <w:ind w:firstLine="72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соответствии со статьей 78 Бюджетного кодекса Российской Федерации, пунктом 13 части 1 и пунктом 1 части 3 статьи 19 Федерального закона от 26.07.206 №</w:t>
      </w:r>
      <w:r>
        <w:rPr>
          <w:rFonts w:ascii="Times New Roman" w:hAnsi="Times New Roman"/>
          <w:color w:themeColor="text1" w:val="000000"/>
          <w:sz w:val="28"/>
        </w:rPr>
        <w:t xml:space="preserve"> 135-ФЗ «О защите конкуренции»,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"https://login.consultant.ru/link/?req=doc&amp;base=RLAW296&amp;n=189540&amp;date=09.09.2022"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от 29.11.2022 № 155 «О краевом бюджете на 2023 год и на плановый период 2024 и 2025 годов»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widowControl w:val="0"/>
        <w:tabs>
          <w:tab w:leader="none" w:pos="2089" w:val="cente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1. Утвердить Порядок </w:t>
      </w:r>
      <w:r>
        <w:rPr>
          <w:rFonts w:ascii="Times New Roman" w:hAnsi="Times New Roman"/>
          <w:sz w:val="28"/>
        </w:rPr>
        <w:t>предоставления в 2023 году обществу с ограниченной ответственностью «Голубая Лагуна» субсидии из краевого бюджета в целях возмещения затрат, связанных с возведением временного глемпингового лагеря для проведения ежегодного Всероссийского молодежного экологического форума «Экосистема. Заповедный край» в 2023 году» на территории гостиничного комплекса «Лагуна»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5000000">
      <w:pPr>
        <w:widowControl w:val="0"/>
        <w:tabs>
          <w:tab w:leader="none" w:pos="2089" w:val="cente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</w:t>
      </w:r>
      <w:r>
        <w:rPr>
          <w:rFonts w:ascii="Times New Roman" w:hAnsi="Times New Roman"/>
          <w:color w:themeColor="text1" w:val="000000"/>
          <w:sz w:val="28"/>
        </w:rPr>
        <w:t xml:space="preserve">в силу после </w:t>
      </w:r>
      <w:r>
        <w:rPr>
          <w:rFonts w:ascii="Times New Roman" w:hAnsi="Times New Roman"/>
          <w:sz w:val="28"/>
        </w:rPr>
        <w:t>дня его официального опубликования.</w:t>
      </w:r>
    </w:p>
    <w:p w14:paraId="16000000">
      <w:pPr>
        <w:widowControl w:val="0"/>
        <w:tabs>
          <w:tab w:leader="none" w:pos="2089" w:val="cente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tabs>
          <w:tab w:leader="none" w:pos="2089" w:val="cente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09"/>
      </w:tblGrid>
      <w:tr>
        <w:trPr>
          <w:trHeight w:hRule="atLeast" w:val="1394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09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0000000">
      <w:pPr>
        <w:spacing w:after="0" w:line="240" w:lineRule="auto"/>
        <w:ind w:firstLine="0" w:left="142" w:right="-2"/>
        <w:jc w:val="center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0" w:left="142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2000000">
      <w:pPr>
        <w:spacing w:after="0" w:line="240" w:lineRule="auto"/>
        <w:ind w:firstLine="0" w:left="142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в 2023 году обществу с ограниченной ответственностью «Голубая Лагуна» субсидии из краевого бюджета в целях возмещения затрат, связанных с возведением временного глемпингового лагеря для проведения ежегодного Всероссийского молодежного экологического форума «Экосистема. Заповедный край» в 2023 году» на территории гостиничного комплекса «Лагуна»</w:t>
      </w: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 Настоящий Порядок регулирует предоставление в 2023 году из краевого бюджета субсидии обществу с ограниченной ответственностью «Голубая Лагуна» в целях возмещения затрат, связанных с выполнением работ по возведению временного глемпингового лагеря для проведения ежегодного Всероссийского молодежного экологического форума «Экосистема. Заповедный край» в 2023 году» на территории гостиничного комплекса «Лагуна» (далее соответственно – субсидия).</w:t>
      </w:r>
    </w:p>
    <w:p w14:paraId="3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Субсидия предоставляется Министерством туризма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год.</w:t>
      </w:r>
    </w:p>
    <w:p w14:paraId="3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Министерством в пределах лимитов бюджетных обязательств, источником финансирования которых являются средства межбюджетных трансфертов, доведенных в установленном порядке до Министерства как получателя средств краевого бюджета, на соответствующий финансовый год и плановый период, за счет средств, поступивших из федерального бюджета на 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утвержденных распоряжением   Правительства Российской Федерации от 16.07.2018 № 1194-р и распоряжением Правительства   Камчатского края от 25.06.2018 № 270-РП, в рамках реализации основного мероприятия «Развитие инфраструктуры туристских ресурсов в Камчатском крае» подпрограммы 1 «Создание и развитие туристской инфраструктуры в Камчатском крае» государственной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"https://login.consultant.ru/link/?req=doc&amp;base=RLAW296&amp;n=189168&amp;dst=126121&amp;field=134&amp;date=14.09.2022"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«Развитие внутреннего и въездного туризма в Камчатском крае», утвержденной постановлением Правительства Камчатского края от 29.11.2013 № 554-П, а также в рамках реализации заключенного между Правительством Камчатского края и обществом с ограниченной ответственностью «Голубая Лагуна» соглашения о сотрудничестве при подготовке площадки для проведения ежегодного Всероссийского молодежного </w:t>
      </w:r>
      <w:r>
        <w:rPr>
          <w:rFonts w:ascii="Times New Roman" w:hAnsi="Times New Roman"/>
          <w:sz w:val="28"/>
        </w:rPr>
        <w:t>экологического форума в Камчатском крае – «Экосистема. Заповедный край» от 29.12.2021.</w:t>
      </w:r>
    </w:p>
    <w:p w14:paraId="37000000">
      <w:pPr>
        <w:spacing w:after="0" w:line="240" w:lineRule="auto"/>
        <w:ind w:firstLine="567" w:left="0" w:right="-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Получателем субсидии является общество с ограниченной ответственностью «Голубая Лагуна» (далее – Получатель субсидии). </w:t>
      </w:r>
    </w:p>
    <w:p w14:paraId="38000000">
      <w:pPr>
        <w:spacing w:after="0" w:line="240" w:lineRule="auto"/>
        <w:ind w:firstLine="567" w:left="0" w:right="-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4. Направлением затрат на возмещение которых предоставляется субсидия, являются расходы, </w:t>
      </w:r>
      <w:r>
        <w:rPr>
          <w:rFonts w:ascii="Times New Roman" w:hAnsi="Times New Roman"/>
          <w:sz w:val="28"/>
        </w:rPr>
        <w:t xml:space="preserve">связанные с возведением временного глемпингового лагеря для проведения ежегодного Всероссийского молодежного экологического форума «Экосистема. Заповедный край» в 2023 году» на территории гостиничного комплекса «Лагуна», по адресу: Камчатский край, </w:t>
      </w:r>
      <w:r>
        <w:rPr>
          <w:rFonts w:ascii="Times New Roman" w:hAnsi="Times New Roman"/>
          <w:sz w:val="28"/>
        </w:rPr>
        <w:t>Елизовский</w:t>
      </w:r>
      <w:r>
        <w:rPr>
          <w:rFonts w:ascii="Times New Roman" w:hAnsi="Times New Roman"/>
          <w:sz w:val="28"/>
        </w:rPr>
        <w:t xml:space="preserve"> район, район озера </w:t>
      </w:r>
      <w:r>
        <w:rPr>
          <w:rFonts w:ascii="Times New Roman" w:hAnsi="Times New Roman"/>
          <w:sz w:val="28"/>
        </w:rPr>
        <w:t>Микижа</w:t>
      </w:r>
      <w:r>
        <w:rPr>
          <w:rFonts w:ascii="Times New Roman" w:hAnsi="Times New Roman"/>
          <w:sz w:val="28"/>
        </w:rPr>
        <w:t>, на земельном участке с кадастровым номером 41:05</w:t>
      </w:r>
      <w:r>
        <w:rPr>
          <w:rFonts w:ascii="Times New Roman" w:hAnsi="Times New Roman"/>
          <w:sz w:val="28"/>
        </w:rPr>
        <w:t xml:space="preserve">:0101103:779 </w:t>
      </w:r>
      <w:r>
        <w:rPr>
          <w:rFonts w:ascii="Times New Roman" w:hAnsi="Times New Roman"/>
          <w:sz w:val="28"/>
        </w:rPr>
        <w:t>(далее – глемпинговый лагерь), к которым относятся расходы по:</w:t>
      </w:r>
    </w:p>
    <w:p w14:paraId="3900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414" w:left="153" w:right="-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сборке и монтажу (установке) </w:t>
      </w:r>
      <w:r>
        <w:rPr>
          <w:rFonts w:ascii="Times New Roman" w:hAnsi="Times New Roman"/>
          <w:sz w:val="28"/>
        </w:rPr>
        <w:t>глемпингов</w:t>
      </w:r>
      <w:r>
        <w:rPr>
          <w:rFonts w:ascii="Times New Roman" w:hAnsi="Times New Roman"/>
          <w:sz w:val="28"/>
        </w:rPr>
        <w:t xml:space="preserve">; </w:t>
      </w:r>
    </w:p>
    <w:p w14:paraId="3A000000">
      <w:pPr>
        <w:spacing w:after="0" w:line="240" w:lineRule="auto"/>
        <w:ind w:firstLine="567" w:left="0" w:right="-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устройству санитарных блоков (туалетов) на территории глемпингового лагеря; </w:t>
      </w:r>
    </w:p>
    <w:p w14:paraId="3B000000">
      <w:pPr>
        <w:spacing w:after="0" w:line="240" w:lineRule="auto"/>
        <w:ind w:firstLine="567" w:left="0" w:right="-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устройству пешеходных дорожек; </w:t>
      </w:r>
    </w:p>
    <w:p w14:paraId="3C000000">
      <w:pPr>
        <w:spacing w:after="0" w:line="240" w:lineRule="auto"/>
        <w:ind w:firstLine="567" w:left="0" w:right="-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подключению водоснабжения; </w:t>
      </w:r>
    </w:p>
    <w:p w14:paraId="3D000000">
      <w:pPr>
        <w:spacing w:after="0" w:line="240" w:lineRule="auto"/>
        <w:ind w:firstLine="567" w:left="0" w:right="-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устройство септиков;</w:t>
      </w:r>
    </w:p>
    <w:p w14:paraId="3E000000">
      <w:pPr>
        <w:spacing w:after="0" w:line="240" w:lineRule="auto"/>
        <w:ind w:firstLine="567" w:left="0" w:right="-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устройству освещения.</w:t>
      </w:r>
    </w:p>
    <w:p w14:paraId="3F000000">
      <w:pPr>
        <w:spacing w:after="0" w:line="240" w:lineRule="auto"/>
        <w:ind w:firstLine="567" w:left="0" w:right="-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Субсидия предоставляется в размере 10 000 000 (десять миллионов) рублей 00 копеек, определенном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"https://login.consultant.ru/link/?req=doc&amp;base=RLAW296&amp;n=189540&amp;date=09.09.2022"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от 29.11.2022 </w:t>
      </w:r>
      <w:r>
        <w:br/>
      </w:r>
      <w:r>
        <w:rPr>
          <w:rFonts w:ascii="Times New Roman" w:hAnsi="Times New Roman"/>
          <w:sz w:val="28"/>
        </w:rPr>
        <w:t xml:space="preserve">№ 155 «О краевом бюджете на 2023 год и на плановый период 2024 и 2025 годов».  </w:t>
      </w:r>
    </w:p>
    <w:p w14:paraId="40000000">
      <w:pPr>
        <w:spacing w:after="0" w:line="240" w:lineRule="auto"/>
        <w:ind w:firstLine="567" w:left="0" w:right="-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41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о бюджете (закона о внесении изменений в закон о бюджете).</w:t>
      </w:r>
    </w:p>
    <w:p w14:paraId="42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Условиями предоставления субсидии являются:</w:t>
      </w:r>
    </w:p>
    <w:p w14:paraId="43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соответствие Получателя субсидии требованиям, установленным частью 8 настоящего Порядка;</w:t>
      </w:r>
    </w:p>
    <w:p w14:paraId="44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 дату заключения соглашения о предоставлении субсидии в целях возмещения затрат, связанных с возведением временного глемпингового лагеря для проведения ежегодного Всероссийского молодежного экологического форума «Экосистема. Заповедный край» в 2023 году» на территории гостиничного комплекса «Лагуна» (далее – соглашение) Получатель субсидии должен находиться в реестре субъектов малого и среднего предпринимательства, размещенном на официальном сайте </w:t>
      </w:r>
      <w:r>
        <w:rPr>
          <w:rFonts w:ascii="Times New Roman" w:hAnsi="Times New Roman"/>
          <w:sz w:val="28"/>
        </w:rPr>
        <w:t xml:space="preserve">Федеральной налоговой службы </w:t>
      </w:r>
      <w:r>
        <w:rPr>
          <w:rFonts w:ascii="Times New Roman" w:hAnsi="Times New Roman"/>
          <w:sz w:val="28"/>
        </w:rPr>
        <w:t>в сети «Интернет»;</w:t>
      </w:r>
    </w:p>
    <w:p w14:paraId="45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обеспечение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затрат, в целях возмещения которых предоставляется субсидия, за счет средств Получателя субсидии в размере не менее 11 996 663 (одиннадцать миллионов девятьсот девяносто шесть тысяч шестьсот шестьдесят три рубля) 79 копеек. </w:t>
      </w:r>
    </w:p>
    <w:p w14:paraId="46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8. </w:t>
      </w:r>
      <w:r>
        <w:rPr>
          <w:rFonts w:ascii="Times New Roman" w:hAnsi="Times New Roman"/>
          <w:sz w:val="28"/>
        </w:rPr>
        <w:t>Получатель субсидии на первое число месяца подачи заявления должен соответствовать следующим требованиями:</w:t>
      </w:r>
    </w:p>
    <w:p w14:paraId="47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Получатель субсидии не должен находиться в процессе реорганизации (за исключением реорганизации в форме присоединения к юридическому лицу,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"https://internet.garant.ru/#/document/185181/entry/0"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Российской Федерации;</w:t>
      </w:r>
    </w:p>
    <w:p w14:paraId="48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9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не должен получать средства из краевого бюджета на основании иных нормативных правовых актов на цели, предусмотренные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"https://internet.garant.ru/#/document/403744182/entry/6"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настоящего Порядка;</w:t>
      </w:r>
    </w:p>
    <w:p w14:paraId="4A000000">
      <w:pPr>
        <w:spacing w:after="0" w:line="240" w:lineRule="auto"/>
        <w:ind w:firstLine="567" w:left="0" w:right="-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4) </w:t>
      </w:r>
      <w:r>
        <w:rPr>
          <w:rFonts w:ascii="Times New Roman" w:hAnsi="Times New Roman"/>
          <w:sz w:val="28"/>
        </w:rPr>
        <w:t>Получатель субсидий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4B000000">
      <w:pPr>
        <w:spacing w:after="0" w:line="240" w:lineRule="auto"/>
        <w:ind w:firstLine="567" w:left="0" w:right="-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5) </w:t>
      </w:r>
      <w:r>
        <w:rPr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4C000000">
      <w:pPr>
        <w:spacing w:after="0" w:line="240" w:lineRule="auto"/>
        <w:ind w:firstLine="567" w:left="0" w:right="-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Субсидия предоставляется Получателю субсидии на основании соглашения, заключаемого Министерством с Получателем субсидии. Соглашение, дополнительное соглашение к нему,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«Электронный </w:t>
      </w:r>
      <w:r>
        <w:rPr>
          <w:rFonts w:ascii="Times New Roman" w:hAnsi="Times New Roman"/>
          <w:sz w:val="28"/>
        </w:rPr>
        <w:t xml:space="preserve">бюджет»   </w:t>
      </w:r>
      <w:r>
        <w:rPr>
          <w:rFonts w:ascii="Times New Roman" w:hAnsi="Times New Roman"/>
          <w:sz w:val="28"/>
        </w:rPr>
        <w:t xml:space="preserve">    (далее – «Электронный бюджет»).</w:t>
      </w:r>
    </w:p>
    <w:p w14:paraId="4D000000">
      <w:pPr>
        <w:spacing w:after="0"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Для заключения соглашения и получения субсидии Получатель субсидии представляет в Министерство следующие документы:</w:t>
      </w:r>
    </w:p>
    <w:p w14:paraId="4E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о предоставлении субсидии на возмещение затрат, связанных с возведением временного глемпингового лагеря для проведения ежегодного Всероссийского молодежного экологического форума «Экосистема. Заповедный край» в 2023 году» на территории гостиничного комплекса «Лагуна», по форме утвержденной приказом Министерства (далее – заявление);</w:t>
      </w:r>
    </w:p>
    <w:p w14:paraId="4F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документ, подтверждающий полномочия заявителя;</w:t>
      </w:r>
    </w:p>
    <w:p w14:paraId="50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копию устава, заверенную печатью (при наличии) и подписью Получателя субсидии;</w:t>
      </w:r>
    </w:p>
    <w:p w14:paraId="51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копии документов, подтверждающих фактически произведенные затраты (договоры, соглашения, расходно-кассовые ордеры, платежные поручения, расчетно-платежные ведомости, договоры (соглашения), счета, счета-фактуры, универсальные передаточные документы, акты выполненных работ, товарные накладные, накладные), заверенные печатью (при наличии) и подписью Получателя субсидии;</w:t>
      </w:r>
    </w:p>
    <w:p w14:paraId="52000000">
      <w:pPr>
        <w:spacing w:after="0" w:line="240" w:lineRule="auto"/>
        <w:ind w:firstLine="480" w:left="0"/>
        <w:jc w:val="both"/>
        <w:rPr>
          <w:rFonts w:ascii="Times New Roman" w:hAnsi="Times New Roman"/>
          <w:b w:val="1"/>
          <w:color w:val="444444"/>
          <w:sz w:val="28"/>
        </w:rPr>
      </w:pPr>
      <w:r>
        <w:rPr>
          <w:rFonts w:ascii="Times New Roman" w:hAnsi="Times New Roman"/>
          <w:sz w:val="28"/>
        </w:rPr>
        <w:t>11. Заявление и документы, указанные в части 10 настоящего Порядка, представляются в Министерство на бумажном носителе лично или посредством почтового отправления. Получатель субсидии несет полную ответственность за достоверность предоставленных документов и сведений, содержащихся в них.</w:t>
      </w:r>
    </w:p>
    <w:p w14:paraId="53000000">
      <w:pPr>
        <w:spacing w:after="0" w:line="240" w:lineRule="auto"/>
        <w:ind w:firstLine="480" w:left="0"/>
        <w:jc w:val="both"/>
        <w:rPr>
          <w:rFonts w:ascii="Times New Roman" w:hAnsi="Times New Roman"/>
          <w:b w:val="1"/>
          <w:color w:val="444444"/>
          <w:sz w:val="28"/>
        </w:rPr>
      </w:pPr>
      <w:r>
        <w:rPr>
          <w:rFonts w:ascii="Times New Roman" w:hAnsi="Times New Roman"/>
          <w:sz w:val="28"/>
        </w:rPr>
        <w:t>Заявление, направленное Получателем субсидии или его уполномоченным представителем в адрес Министерства иными способами, не рассматривается.</w:t>
      </w:r>
    </w:p>
    <w:p w14:paraId="54000000">
      <w:pPr>
        <w:spacing w:after="0" w:line="240" w:lineRule="auto"/>
        <w:ind w:firstLine="480" w:left="0"/>
        <w:jc w:val="both"/>
        <w:rPr>
          <w:rFonts w:ascii="Times New Roman" w:hAnsi="Times New Roman"/>
          <w:b w:val="1"/>
          <w:color w:val="444444"/>
          <w:sz w:val="28"/>
        </w:rPr>
      </w:pPr>
      <w:r>
        <w:rPr>
          <w:rFonts w:ascii="Times New Roman" w:hAnsi="Times New Roman"/>
          <w:sz w:val="28"/>
        </w:rPr>
        <w:t xml:space="preserve">Документы, предусмотренные в части 10 настоящего Порядка, представляются Получателем субсидии в Министерство с описью, прошитые, пронумерованные, копии документов заверяются печатью (при наличии) и подписью Получателя субсидии. </w:t>
      </w:r>
    </w:p>
    <w:p w14:paraId="55000000">
      <w:pPr>
        <w:spacing w:after="0" w:line="240" w:lineRule="auto"/>
        <w:ind w:firstLine="480" w:left="0"/>
        <w:jc w:val="both"/>
        <w:rPr>
          <w:rFonts w:ascii="Times New Roman" w:hAnsi="Times New Roman"/>
          <w:b w:val="1"/>
          <w:color w:val="444444"/>
          <w:sz w:val="28"/>
        </w:rPr>
      </w:pPr>
      <w:r>
        <w:rPr>
          <w:rFonts w:ascii="Times New Roman" w:hAnsi="Times New Roman"/>
          <w:sz w:val="28"/>
        </w:rPr>
        <w:t>12. Министерство регистрирует заявление с приложенными к нему документами в день их поступления.</w:t>
      </w:r>
    </w:p>
    <w:p w14:paraId="56000000">
      <w:pPr>
        <w:spacing w:after="0" w:line="240" w:lineRule="auto"/>
        <w:ind w:firstLine="480" w:left="0"/>
        <w:jc w:val="both"/>
        <w:rPr>
          <w:rFonts w:ascii="Times New Roman" w:hAnsi="Times New Roman"/>
          <w:b w:val="1"/>
          <w:color w:val="444444"/>
          <w:sz w:val="28"/>
        </w:rPr>
      </w:pPr>
      <w:r>
        <w:rPr>
          <w:rFonts w:ascii="Times New Roman" w:hAnsi="Times New Roman"/>
          <w:sz w:val="28"/>
        </w:rPr>
        <w:t>13. Министерство в течение 5 рабочих дней со дня регистрации документов, указанных в части 10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в случае если Получатель субсидии не предоставил указанный документ по собственной инициативе, а также осуществляет сверку информации, согласно пункту 5 части 8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57000000">
      <w:pPr>
        <w:spacing w:after="0"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Министерство в течение 10 рабочих дней со дня регистрации документов, указанных в части 10 настоящего Порядка, рассматривает представленные документы, сведения, указанные в части 13 настоящего Порядка, а также проводит проверку на соответствие Получателя субсидии требованиям, установленным настоящим Порядком и принимает решение о предоставлении субсидии либо об отказе в ее предоставлении.</w:t>
      </w:r>
    </w:p>
    <w:p w14:paraId="58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Основаниями для отказа в предоставлении субсидии являются:</w:t>
      </w:r>
    </w:p>
    <w:p w14:paraId="59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Получателя субсидии условиям, установленным частью 7 настоящего Порядка;</w:t>
      </w:r>
    </w:p>
    <w:p w14:paraId="5A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несоответствие представленных Получателем субсидии документов требованиям, установленным частями 10 и 11 настоящего Порядка или непредставление (представление не в полном объеме) указанных документов;</w:t>
      </w:r>
    </w:p>
    <w:p w14:paraId="5B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3) установление факта недостоверности представленной Получателем субсидии информации.</w:t>
      </w:r>
    </w:p>
    <w:p w14:paraId="5C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 случае принятия решения об отказе в предоставлении субсидии Министерство в течение 10 рабочих дней со дня принятия такого решения направляет Получателю субсидии письменное уведомление о принятом решении с обоснованием причин отказа. Уведомление направляется посредством почтового отправления,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5D000000">
      <w:pPr>
        <w:widowControl w:val="0"/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В случае принятия решения о предоставлении субсидии Министерство в течение 2 рабочих дней со дня принятия такого решения издает приказ о предоставлении субсидии, подписывает соглашение и направляет его в «Электронном бюджете» Получателю субсидии для подписания. </w:t>
      </w:r>
    </w:p>
    <w:p w14:paraId="5E000000">
      <w:pPr>
        <w:widowControl w:val="0"/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3 рабочих дней со дня получения соглашения осуществляет его подписание в «Электронном бюджете». В случае нарушения срока, установленного для подписания соглашения, Получатель субсидии признается уклонившимся от подписания соглашения.</w:t>
      </w:r>
    </w:p>
    <w:p w14:paraId="5F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Министерство перечисляет субсидию на расчетный или корреспондентский счет, открытый получателем субсидии в учреждениях Центрального банка Российской Федерации или в кредитных организация, реквизиты которых указаны в соглашении, не позднее 10 рабочего дня со дня принятия Министерством решения о предоставлении субсидии, при условии подписания Получателем субсидии соглашения.</w:t>
      </w:r>
    </w:p>
    <w:p w14:paraId="60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Обязательными условиями соглашения о предоставлении субсидии является включение в его состав:</w:t>
      </w:r>
    </w:p>
    <w:p w14:paraId="61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согласия Получателя субсидии о согласовании новых условий соглашения или его расторжении,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 соглашения, в случае уменьшения Министерству, как получателю бюджетных средств ранее доведенных лимитов бюджетных обязательств на предоставление субсидий в соответствующем финансовом году, приводящего к невозможности предоставления субсидии в размере, определенном в соглашении;</w:t>
      </w:r>
    </w:p>
    <w:p w14:paraId="62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порядка согласования новых условий соглашения.</w:t>
      </w:r>
    </w:p>
    <w:p w14:paraId="63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Результатом предоставления субсидии, по состоянию на 01.08.2023, является введенный в эксплуатацию временный глемпинговый лагерь для проведения ежегодного Всероссийского молодежного экологического форума «Экосистема. Заповедный край» в 2023 году» на территории гостиничного комплекса «Лагуна». </w:t>
      </w:r>
    </w:p>
    <w:p w14:paraId="64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Получатель субсидии представляет в Министерство до 31.01.2024 отчет о достижении результата предоставления субсидии по состоянию на 01.08.2023, по форме согласно приложению к соглашению.</w:t>
      </w:r>
    </w:p>
    <w:p w14:paraId="65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Министерство вправе устанавливать в соглашении сроки и формы предоставления дополнительной отчетности.</w:t>
      </w:r>
    </w:p>
    <w:p w14:paraId="66000000">
      <w:pPr>
        <w:spacing w:after="0"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Министерство и органы государственного финансового контроля осуществляют в отношении Получателя субсидии проверки.</w:t>
      </w:r>
    </w:p>
    <w:p w14:paraId="67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В случае выявления Министерством несоблюдения Порядка и условий предоставления субсидий, а также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результата, установленного при предоставлении субсидии, иных нарушений, выявленных органами государственного финансового контроля по фактам проверок в соответствии со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"https://internet.garant.ru/#/document/12112604/entry/2681"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"https://internet.garant.ru/#/document/12112604/entry/2681"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  <w:vertAlign w:val="superscript"/>
        </w:rPr>
        <w:fldChar w:fldCharType="begin"/>
      </w:r>
      <w:r>
        <w:rPr>
          <w:rFonts w:ascii="Times New Roman" w:hAnsi="Times New Roman"/>
          <w:sz w:val="28"/>
          <w:vertAlign w:val="superscript"/>
        </w:rPr>
        <w:instrText>HYPERLINK "https://internet.garant.ru/#/document/12112604/entry/2681"</w:instrText>
      </w:r>
      <w:r>
        <w:rPr>
          <w:rFonts w:ascii="Times New Roman" w:hAnsi="Times New Roman"/>
          <w:sz w:val="28"/>
          <w:vertAlign w:val="superscript"/>
        </w:rPr>
        <w:fldChar w:fldCharType="separate"/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vertAlign w:val="superscript"/>
        </w:rPr>
        <w:fldChar w:fldCharType="end"/>
      </w:r>
      <w:r>
        <w:rPr>
          <w:rFonts w:ascii="Times New Roman" w:hAnsi="Times New Roman"/>
          <w:sz w:val="28"/>
        </w:rPr>
        <w:t> и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"https://internet.garant.ru/#/document/12112604/entry/2692"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Бюджетного кодекса Российской Федерации, Получатель субсидии обязан возвратить денежные средства в краевой бюджет в следующем порядке и сроки:</w:t>
      </w:r>
    </w:p>
    <w:p w14:paraId="68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69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6A000000">
      <w:pPr>
        <w:spacing w:line="240" w:lineRule="auto"/>
        <w:ind w:firstLine="567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Письменное требование о возврате субсидии направляется Министерством Получателю субсидии в течение 5 рабочих дней со дня выявления обстоятельств, указанных в части 24 настоящего Порядка, посредством почтового отправления или на адрес электронной почты или иным способом, обеспечивающим подтверждение получения указанного требования Получателем субсидии</w:t>
      </w:r>
    </w:p>
    <w:p w14:paraId="6B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Получатель субсидии обязан возвратить средства субсидии в следующих объемах:</w:t>
      </w:r>
    </w:p>
    <w:p w14:paraId="6C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6D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настоящего Порядка – в полном объеме;</w:t>
      </w:r>
    </w:p>
    <w:p w14:paraId="6E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результатов предоставления субсидии, в следующем размере:  </w:t>
      </w:r>
    </w:p>
    <w:p w14:paraId="6F000000">
      <w:pPr>
        <w:spacing w:line="240" w:lineRule="auto"/>
        <w:ind w:firstLine="567" w:left="0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</w:rPr>
        <w:t>возврата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</w:rPr>
        <w:t>субсидии</w:t>
      </w:r>
      <w:r>
        <w:rPr>
          <w:rFonts w:ascii="Times New Roman" w:hAnsi="Times New Roman"/>
          <w:sz w:val="28"/>
        </w:rPr>
        <w:t xml:space="preserve"> * (Ф/П), где</w:t>
      </w:r>
    </w:p>
    <w:p w14:paraId="70000000">
      <w:pPr>
        <w:spacing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размер субсидии, предоставленной Получателю субсидии;</w:t>
      </w:r>
    </w:p>
    <w:p w14:paraId="71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 – фактически достигнутое значение результата предоставления субсидии на отчетную дату;</w:t>
      </w:r>
    </w:p>
    <w:p w14:paraId="72000000">
      <w:pPr>
        <w:spacing w:after="0"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– плановое значение результата предоставления субсидии, установленное соглашением;</w:t>
      </w:r>
    </w:p>
    <w:p w14:paraId="73000000">
      <w:pPr>
        <w:spacing w:line="240" w:lineRule="auto"/>
        <w:ind w:firstLine="567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При невозврате средств субсидии в сроки, установленные частью 24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74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3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3_ch"/>
    <w:link w:val="Style_10"/>
    <w:rPr>
      <w:rFonts w:ascii="Calibri" w:hAnsi="Calibri"/>
    </w:rPr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Гиперссылка1"/>
    <w:basedOn w:val="Style_13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13_ch"/>
    <w:link w:val="Style_24"/>
    <w:rPr>
      <w:color w:themeColor="hyperlink" w:val="0563C1"/>
      <w:u w:val="single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3_ch"/>
    <w:link w:val="Style_25"/>
    <w:rPr>
      <w:rFonts w:ascii="Segoe UI" w:hAnsi="Segoe UI"/>
      <w:sz w:val="18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footer"/>
    <w:basedOn w:val="Style_3"/>
    <w:link w:val="Style_3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2_ch" w:type="character">
    <w:name w:val="footer"/>
    <w:basedOn w:val="Style_3_ch"/>
    <w:link w:val="Style_32"/>
    <w:rPr>
      <w:rFonts w:ascii="Times New Roman" w:hAnsi="Times New Roman"/>
      <w:sz w:val="28"/>
    </w:rPr>
  </w:style>
  <w:style w:styleId="Style_33" w:type="paragraph">
    <w:name w:val="header"/>
    <w:basedOn w:val="Style_3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3_ch" w:type="character">
    <w:name w:val="header"/>
    <w:basedOn w:val="Style_3_ch"/>
    <w:link w:val="Style_33"/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2023-10-22T23:24:48Z</dcterms:modified>
</cp:coreProperties>
</file>