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8" y="0"/>
                <wp:lineTo x="-38" y="20855"/>
                <wp:lineTo x="20930" y="20855"/>
                <wp:lineTo x="20930" y="0"/>
                <wp:lineTo x="-38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0"/>
        <w:tblW w:w="9750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0"/>
      </w:tblGrid>
      <w:tr>
        <w:trPr/>
        <w:tc>
          <w:tcPr>
            <w:tcW w:w="97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Об утверждении Порядка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определения объема и предоставления в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2024 году субсидии из краевого бюджета автономной некоммерческой организации «Камчатский выставочно-туристический центр»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на финансовое обеспечение затрат,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направленных на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>обеспечение  доступа субъектов малого и среднего предпринимательства к экспортной поддержке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0"/>
                <w:shd w:fill="auto" w:val="clear"/>
                <w:lang w:val="ru-RU" w:eastAsia="ru-RU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color w:val="auto"/>
          <w:sz w:val="28"/>
        </w:rPr>
        <w:t>В соответствии с пунктом 2 статьи 78</w:t>
      </w:r>
      <w:r>
        <w:rPr>
          <w:rFonts w:ascii="Times New Roman" w:hAnsi="Times New Roman"/>
          <w:color w:val="auto"/>
          <w:sz w:val="28"/>
          <w:vertAlign w:val="superscript"/>
        </w:rPr>
        <w:t>1</w:t>
      </w:r>
      <w:r>
        <w:rPr>
          <w:rFonts w:ascii="Times New Roman" w:hAnsi="Times New Roman"/>
          <w:color w:val="auto"/>
          <w:sz w:val="28"/>
        </w:rPr>
        <w:t xml:space="preserve"> Бюджетного кодекса Российской Федерации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определения объема и предоставления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2024 году субсидии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из краевого бюджета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>автономной некоммерческой организации «Камчатский выставочно-туристический центр»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 на финансовое обеспечение затрат, 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направленных на обеспечение доступа субъектов малого и среднего предпринимательства к экспортной поддержке</w:t>
      </w:r>
      <w:r>
        <w:rPr>
          <w:rFonts w:ascii="Times New Roman" w:hAnsi="Times New Roman"/>
          <w:sz w:val="28"/>
        </w:rPr>
        <w:t>,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постановление Правительства Камчатского края от </w:t>
      </w:r>
      <w:r>
        <w:rPr>
          <w:rFonts w:ascii="Times New Roman" w:hAnsi="Times New Roman"/>
          <w:sz w:val="28"/>
        </w:rPr>
        <w:t>09.06</w:t>
      </w:r>
      <w:r>
        <w:rPr>
          <w:rFonts w:ascii="Times New Roman" w:hAnsi="Times New Roman"/>
          <w:sz w:val="28"/>
        </w:rPr>
        <w:t>.2023 № </w:t>
      </w:r>
      <w:r>
        <w:rPr>
          <w:rFonts w:ascii="Times New Roman" w:hAnsi="Times New Roman"/>
          <w:sz w:val="28"/>
        </w:rPr>
        <w:t>321</w:t>
      </w:r>
      <w:r>
        <w:rPr>
          <w:rFonts w:ascii="Times New Roman" w:hAnsi="Times New Roman"/>
          <w:sz w:val="28"/>
        </w:rPr>
        <w:t>-П «Об утверждении Порядка предоставления из краевого бюджета субсидии автономной некоммерческой организации «Камчатский выставочно-туристический центр» в целях финансового обеспечения затрат, направленных на обеспечение доступа субъектов малого и среднего предпринимательства к экспортной поддержке»;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часть 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1 приложения к постановлению Правительства Камчатского края от 30.08.2023 № 464-П «О внесении изменений в отдельные постановления Правительства Камчатского края».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Настоящее постановление вступает в силу после дня его официального опубликования.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532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578"/>
        <w:gridCol w:w="3544"/>
        <w:gridCol w:w="2410"/>
      </w:tblGrid>
      <w:tr>
        <w:trPr>
          <w:trHeight w:val="2220" w:hRule="atLeast"/>
        </w:trPr>
        <w:tc>
          <w:tcPr>
            <w:tcW w:w="357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30" w:right="2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left="142" w:hanging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35" w:hanging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tbl>
      <w:tblPr>
        <w:tblStyle w:val="af0"/>
        <w:tblW w:w="96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480"/>
        <w:gridCol w:w="482"/>
        <w:gridCol w:w="3661"/>
        <w:gridCol w:w="480"/>
        <w:gridCol w:w="1872"/>
        <w:gridCol w:w="486"/>
        <w:gridCol w:w="1697"/>
      </w:tblGrid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 xml:space="preserve">Приложение </w:t>
            </w:r>
            <w:bookmarkStart w:id="2" w:name="_GoBack"/>
            <w:bookmarkEnd w:id="2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к постановлению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8079" w:hanging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Правительства Камчатского края</w:t>
            </w:r>
          </w:p>
        </w:tc>
      </w:tr>
      <w:tr>
        <w:trPr/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от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ru-RU" w:bidi="ar-SA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28"/>
                <w:szCs w:val="20"/>
                <w:lang w:val="ru-RU" w:eastAsia="ru-RU" w:bidi="ar-SA"/>
              </w:rPr>
              <w:t>[R</w:t>
            </w:r>
            <w:r>
              <w:rPr>
                <w:rFonts w:eastAsia="Times New Roman" w:cs="Times New Roman" w:ascii="Times New Roman" w:hAnsi="Times New Roman"/>
                <w:color w:val="FFFFFF" w:themeColor="background1"/>
                <w:kern w:val="0"/>
                <w:sz w:val="16"/>
                <w:szCs w:val="20"/>
                <w:lang w:val="ru-RU" w:eastAsia="ru-RU" w:bidi="ar-SA"/>
              </w:rPr>
              <w:t>EGNUMSTAMP]</w:t>
            </w:r>
          </w:p>
        </w:tc>
      </w:tr>
    </w:tbl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8"/>
          <w:shd w:fill="auto" w:val="clear"/>
        </w:rPr>
        <w:t xml:space="preserve">Порядок определения объема и предоставления 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2024 году субсидии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из краевого бюджета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>автономной некоммерческой организации «Камчатский выставочно-туристический центр»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 на финансовое обеспечение затрат, 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направленных на обеспечение доступа субъектов малого и среднего предпринимательства к экспортной поддержке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 w:val="false"/>
          <w:bCs w:val="false"/>
          <w:sz w:val="28"/>
        </w:rPr>
      </w:pPr>
      <w:r>
        <w:rPr>
          <w:rFonts w:ascii="Times New Roman" w:hAnsi="Times New Roman"/>
          <w:b w:val="false"/>
          <w:bCs w:val="false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1. Настоящий Порядок регулирует вопросы определения объема и предоставления из краевого бюджета субсидии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0"/>
          <w:shd w:fill="auto" w:val="clear"/>
          <w:lang w:val="ru-RU" w:eastAsia="ru-RU" w:bidi="ar-SA"/>
        </w:rPr>
        <w:t xml:space="preserve">автономной некоммерческой организации «Камчатский выставочно-туристический центр»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на финансовое обеспечение затрат,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направленных на обеспечение доступа субъектов малого и среднего предпринимательства к экспортной поддержке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(далее - субсидии)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, в целях достижения результатов регионального проекта «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Акселерация субъектов малого и среднего предпринимательства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»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г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 xml:space="preserve">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28.12.2023 № 711-П (далее соответственно – субсидия, 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П</w:t>
      </w:r>
      <w:r>
        <w:rPr>
          <w:rFonts w:ascii="Times New Roman" w:hAnsi="Times New Roman"/>
          <w:b w:val="false"/>
          <w:bCs w:val="false"/>
          <w:sz w:val="28"/>
          <w:shd w:fill="auto" w:val="clear"/>
        </w:rPr>
        <w:t>рограмма).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Субсидии носят целевой характер и не могут быть израсходованы на цели, не предусмотренные настоящим Порядком.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Министерство </w:t>
      </w:r>
      <w:r>
        <w:rPr>
          <w:rFonts w:ascii="Times New Roman" w:hAnsi="Times New Roman"/>
          <w:sz w:val="28"/>
          <w:szCs w:val="28"/>
        </w:rPr>
        <w:t>туризма</w:t>
      </w:r>
      <w:r>
        <w:rPr>
          <w:rFonts w:ascii="Times New Roman" w:hAnsi="Times New Roman"/>
          <w:sz w:val="28"/>
          <w:szCs w:val="28"/>
        </w:rPr>
        <w:t xml:space="preserve">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Министерством в пределах лимитов бюджетных обязательств, предусмотренных законом Камчатского края о краевом бюджете на соответствующий финансовый год и плановый период, доведенных в установленном порядке до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предоставляются в период действия структурных элементов Программы, указанных в части 1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Способ предоставления субсидий – финансовое обеспечение затр</w:t>
      </w:r>
      <w:r>
        <w:rPr>
          <w:rFonts w:ascii="Times New Roman" w:hAnsi="Times New Roman"/>
          <w:sz w:val="28"/>
          <w:szCs w:val="28"/>
        </w:rPr>
        <w:t>ат.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 субсидиях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(в разделе единого портала) в порядке, установленном Министерством финансов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Получателем субсидий является автономная некоммерческая организация «Камчатский выставочно-туристический центр» (далее – </w:t>
      </w:r>
      <w:r>
        <w:rPr>
          <w:rFonts w:ascii="Times New Roman" w:hAnsi="Times New Roman"/>
          <w:color w:val="auto"/>
          <w:sz w:val="28"/>
          <w:szCs w:val="28"/>
        </w:rPr>
        <w:t>получатель субсидий).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shd w:fill="auto" w:val="clear"/>
        </w:rPr>
        <w:t>6. Направлениями расходов, источником финансового обеспечения которых являются субсидии, являются: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1) организационные расходы АНО «КВТЦ», направленные на обеспечение доступа субъектов малого и среднего предпринимательства к экспортной поддержке: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а) фонд оплаты труда сотрудников;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б) начисления на оплату труда сотрудников;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в) услуги связи;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г) коммунальные услуги, включая аренду (субаренду) помещений;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д) доступ к российским и международным информационным порталам и базам данных по тематике внешнеэкономической деятельности;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е) услуги сертификации/инспекции;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ж) командировочные расходы сотрудников;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з) обучение, курсы повышения квалификации сотрудников;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2) популяризация образа экспортера и деятельности АНО «КВТЦ», направленной на поддержку экспорта: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а) продвижение информации о деятельности АНО «КВТЦ» в средствах массовой информации и в информационно-телекоммуникационной сети «Интернет», в том числе продвижение аккаунтов в социальных сетях в информационно-телекоммуникационной сети «Интернет», информационное сопровождение проводимых мероприятий в средствах массовой информации;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б) создание и (или) обеспечение работы сайта в информационно-телекоммуникационной сети «Интернет», включая его модернизацию;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в) услуги ребрендинга, в том числе оплата расходов на внедрение корпоративного стиля, включая изготовление сувенирной продукции, вывесок, баннеров;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г) организация и проведение конференций, форумов, круглых столов;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д) организация мероприятий для обмена опытом центров поддержки экспорта;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е) организация и проведение ежегодного регионального конкурса «Экспортер года»;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3) комплексные услуги АНО «КВТЦ», направленные на обеспечение доступа субъектов малого и среднего предпринимательства к экспортной поддержке: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а) сопровождение экспортного контракта;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б) содействие в поиске и подборке иностранного покупателя;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в) обеспечение доступа субъектов малого и среднего предпринимательства Камчатского края к запросам иностранных покупателей на товары (работы, услуги);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г) организация и проведение международных бизнес-миссий;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д) организация и проведение реверсных бизнес-миссий (прием иностранной делегации на территории Камчатского края с целью проведения бизнес-встреч и продвижения российской продукции на экспорт);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е) организация и проведение межрегиональных бизнес-миссий;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ж) организация участия субъектов малого и среднего предпринимательства в международном выставочно-ярмарочном мероприятии в иностранном государстве;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з) организация участия субъектов малого и среднего предпринимательства в международном выставочно-ярмарочном мероприятии в Российской Федерации;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и) содействие в размещении субъектов малого и среднего предпринимательства на международных электронных торговых площадках, в том числе: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регистрация и продвижение малого и среднего предпринимательства на международной электронной торговой площадке, в том числе привлечение сервисного партнера;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размещение на международной электронной торговой площадке;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к) обеспечение участия субъектов малого и среднего предпринимательства в акселерационных программах по развитию экспортной деятельности, в том числе: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акселерация по программе Школы эксперта РЭЦ «Экспертный форсаж»;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акселерация (проведение информационно-консультационных модулей и сопровождение);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акселерация с привлечением партнерских организаций;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4) самостоятельные услуги АНО «КВТЦ», направленные на обеспечение доступа субъектов малого и среднего предпринимательства к экспортной поддержке: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а) содействие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б)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предпринимательства, товаров, работ, услуг и предприятий, которым предоставляется правовая охрана за пределами территории Российской Федерации;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в) содействие в организации и осуществлении транспортировки продукции субъектов малого и среднего предпринимательства, предназначенной для экспорта, на внешние рынки;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г) содействие в проведении индивидуальных маркетинговых или патентных исследований иностранных рынков по запросу субъекта малого и среднего предпринимательства;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д) консультирование по условиям экспорта товара (работы, услуги) на рынок страны потенциального иностранного покупателя;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5) дополнительные услуги АНО «КВТЦ», направленные на обеспечение доступа субъектов малого и среднего предпринимательства к экспортной поддержке: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а) содействие в создании на иностранном языке и (или) модернизации существующего сайта субъекта малого или среднего предпринимательства в информационно-телекоммуникационной сети «Интернет» на иностранном языке;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б) содействие в размещении и хранении продукции субъектов малого и среднего предпринимательства в местах временного хранения за рубежом;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6) информационно-консультационные мероприятия по вопросам экспортной деятельности: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а) проведение экспортных семинаров в рамках соглашения с автономной некоммерческой организацией дополнительного профессионального образования «Школа экспорта Акционерного общества «Российский экспортный центр»;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б) проведение мастер-классов, экспортных семинаров, вебинаров и других информационно-консультационных мероприятий;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>7) другие услуги АНО «КВТЦ», направленные на обеспечение доступа субъектов малого и среднего предпринимательства к экспортной поддержке: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а) обновление онлайн-каталога для экспортеров и экспортно ориентированных субъектов малого и среднего предпринимательства;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b w:val="false"/>
          <w:bCs w:val="false"/>
          <w:sz w:val="28"/>
        </w:rPr>
        <w:t xml:space="preserve">б) размещение новых субъектов малого и среднего предпринимательства в онлайн-каталоге для экспортеров и экспортно ориентированных субъектов малого и среднего предпринимательства.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7. Условием предоставлени</w:t>
      </w:r>
      <w:r>
        <w:rPr>
          <w:rFonts w:ascii="Times New Roman" w:hAnsi="Times New Roman"/>
          <w:sz w:val="28"/>
          <w:szCs w:val="28"/>
        </w:rPr>
        <w:t>я субсидий является соответствие получателя субсидий на первое число месяца, в котором подаются указанные в части 8 настоящего Порядка документы для получения субсидий,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получатель субсидий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получатель субсидий не находится в перечне организаций </w:t>
      </w:r>
      <w:r>
        <w:rPr>
          <w:rFonts w:ascii="Times New Roman" w:hAnsi="Times New Roman"/>
          <w:color w:val="auto"/>
          <w:sz w:val="28"/>
          <w:szCs w:val="28"/>
        </w:rPr>
        <w:t>и физических лиц, в отношении которых имеются сведения об их причастности к экстремистской деятельности или терроризму;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3) получатель субсидий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получатель </w:t>
      </w:r>
      <w:r>
        <w:rPr>
          <w:rFonts w:ascii="Times New Roman" w:hAnsi="Times New Roman"/>
          <w:color w:val="auto"/>
          <w:sz w:val="28"/>
          <w:szCs w:val="28"/>
        </w:rPr>
        <w:t xml:space="preserve">субсидий </w:t>
      </w:r>
      <w:r>
        <w:rPr>
          <w:rFonts w:ascii="Times New Roman" w:hAnsi="Times New Roman"/>
          <w:sz w:val="28"/>
          <w:szCs w:val="28"/>
        </w:rPr>
        <w:t>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5) получатель субсидий не является иностранным агентом в соответствии с Федеральным законом</w:t>
      </w: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 от 14.07.2022 № 255-ФЗ «</w:t>
      </w:r>
      <w:r>
        <w:rPr>
          <w:rFonts w:ascii="Times New Roman" w:hAnsi="Times New Roman"/>
          <w:color w:val="auto"/>
          <w:sz w:val="28"/>
          <w:szCs w:val="28"/>
        </w:rPr>
        <w:t>О контроле за деятельностью лиц, находящихся под иностранным влиянием»;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6) у получателя субсидий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Fonts w:ascii="Times New Roman" w:hAnsi="Times New Roman"/>
          <w:color w:val="auto"/>
          <w:sz w:val="28"/>
          <w:szCs w:val="28"/>
        </w:rPr>
        <w:t>у получателя субсидий отсутствуют просроченная з</w:t>
      </w:r>
      <w:r>
        <w:rPr>
          <w:rFonts w:ascii="Times New Roman" w:hAnsi="Times New Roman"/>
          <w:sz w:val="28"/>
          <w:szCs w:val="28"/>
        </w:rPr>
        <w:t xml:space="preserve">адолженность по возврату в краевой бюджет </w:t>
      </w:r>
      <w:r>
        <w:rPr>
          <w:rFonts w:ascii="Times New Roman" w:hAnsi="Times New Roman"/>
          <w:color w:val="auto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получатель субсидий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субсидий не должна быть приостановлена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реестре дисквалифицированных лиц отсутствуют сведения о дисквалифицированном руководителе или главном бухгалтере получателя субсидий;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получатель субсидий состоит в Реестре социально ориентированных некоммерческих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8. Для получения субсидии получатель субсидий в срок до 1 февраля </w:t>
      </w:r>
      <w:r>
        <w:rPr>
          <w:rFonts w:ascii="Times New Roman" w:hAnsi="Times New Roman"/>
          <w:sz w:val="28"/>
          <w:szCs w:val="28"/>
        </w:rPr>
        <w:t xml:space="preserve">текущего финансового года представляет </w:t>
      </w:r>
      <w:r>
        <w:rPr>
          <w:rFonts w:ascii="Times New Roman" w:hAnsi="Times New Roman"/>
          <w:color w:val="auto"/>
          <w:sz w:val="28"/>
          <w:szCs w:val="28"/>
        </w:rPr>
        <w:t>нарочно</w:t>
      </w:r>
      <w:r>
        <w:rPr>
          <w:rFonts w:ascii="Times New Roman" w:hAnsi="Times New Roman"/>
          <w:sz w:val="28"/>
          <w:szCs w:val="28"/>
        </w:rPr>
        <w:t xml:space="preserve"> в Министерство заявку на предоставление субсидии отдельно по каждому структурному элементу Программы в произвольной форме с указанием расчетного или корреспондентского счета получателя субсидий, открытого в учреждениях Центрального банка Российской Федерации или кредитной организации, на который в соответствии с бюджетным законодательством Российской Федерации перечисляются субсидии, и следующие докум</w:t>
      </w:r>
      <w:r>
        <w:rPr>
          <w:rFonts w:ascii="Times New Roman" w:hAnsi="Times New Roman"/>
          <w:color w:val="auto"/>
          <w:sz w:val="28"/>
          <w:szCs w:val="28"/>
        </w:rPr>
        <w:t xml:space="preserve">енты: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копии учредительных документов получателя субсидий с одновременным представлением подлинников для сверки;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справку, подписанную руководителем получателя субсидий, подтверждающую соответствие получателя субсидий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требованиям,</w:t>
      </w:r>
      <w:r>
        <w:rPr>
          <w:rFonts w:ascii="Times New Roman" w:hAnsi="Times New Roman"/>
          <w:sz w:val="28"/>
          <w:szCs w:val="28"/>
        </w:rPr>
        <w:t xml:space="preserve"> установленным частью 7 настоящего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план мероприятий на финансовый год с указанием сроков проведения мероприятий и размера средств, необходимых для их реализации, с приложением финансово-экономического обоснования расходов на организацию и проведение мероприятий (далее – План мероприятий).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Все представленные получателем субсидий в Министерство документы подлежат регистрации в день их поступления.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Министерство в течение 10 рабочих дней со дня получения документов, указанных в части 8 настоящего Порядка, рассматривает их, получает в отношении получателя субсидий сведения и осуществляет проверку полноты и достоверности содержащихся в документах сведений получателя субсидий на соответствие указанным в части 7 настоящего Порядка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соответствии с пунктами 1 и 8 части 7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сведений из ЕГРЮЛ/ЕГРИП в электронном виде»;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соответствии с пунктом 2 части 7 настоящего Порядка на официальном сайте Росфинмониторинга на странице «Перечень организаций и физических лиц, в отношении которых имеются сведения об их причастности к экстремистской деятельности или терроризму»;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соответствии с пунктом 3 части 7 настоящего Порядка на официальном сайте Росфинмониторинга на странице «Перечни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соответствии с пунктом 4 части 7 настоящего Порядка на основании иных нормативных правовых актов Камчатского края 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соответствии с пунктом 5 части 7 настоящего Порядка на официальном сайте Министерства юстиции Российской Федерации на странице «Реестр иностранных агентов»;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соответствии с пунктом 6 части 7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соответствии с пунктом 7 части 7 настоящего Порядка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соответствии с пунктом 9 части 7 настоящего Порядка на официальном сайте Федеральной налоговой службы на странице «Поиск сведений в реестре дисквалифицированных лиц»;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соответствии с пунктом 10 части 7 настоящего Порядка на сайте Министерства экономического развития Российской Федерации на странице «Реестр социально ориентированных некоммерческих организаций».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Министерство в течение 10 рабочих дней со дня регистрации документов, указанных в части 8 настоящего Порядка, принимает решение о предоставлении субсидии или об отказе в предоставлении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Основаниями для отказа в предоставлении субсидии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несоответствие представленных получателем субсидий документов требованиям, определенным частью 8 настоящего Порядка, или непредставление (представление не в полном объеме) указанных документов;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color w:val="auto"/>
          <w:sz w:val="28"/>
          <w:szCs w:val="28"/>
        </w:rPr>
        <w:t xml:space="preserve"> установление факта недостоверности представленной получателем субсидий информации, в том числе информации о месте нахождения и адресе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 несоответствие получателя субсидий</w:t>
      </w:r>
      <w:r>
        <w:rPr>
          <w:rFonts w:ascii="Times New Roman" w:hAnsi="Times New Roman"/>
          <w:sz w:val="28"/>
          <w:szCs w:val="28"/>
        </w:rPr>
        <w:t xml:space="preserve"> условию предоставления субсидий, установленному частью 7 настоящего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color w:val="auto"/>
          <w:sz w:val="28"/>
          <w:szCs w:val="28"/>
        </w:rPr>
        <w:t>В случае отказа в предоставлении субсидии</w:t>
      </w:r>
      <w:r>
        <w:rPr>
          <w:rFonts w:ascii="Times New Roman" w:hAnsi="Times New Roman"/>
          <w:sz w:val="28"/>
          <w:szCs w:val="28"/>
        </w:rPr>
        <w:t xml:space="preserve"> Министерство в течение 3 рабочих дней со дня принятия такого решения направляет получателю субсидий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субсидий.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14. Субсидии предоставляются на основании соглашений о предоставлении субсидии (далее – Соглашение), которые заключаются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получателя субсидий с указанием в Соглашении юридического лица, являющегося правопреемником.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краевой бюджет.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Министерство в течение 3 рабочих дней со дня принятия решения о предоставлении субсидии подготавливает два экземпляра Соглашения в письменной форме, подписывает их и направляет получателю субсидий письменное уведомление (посредством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субсидий) о необходимости явиться в Министерство.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Получатель субсидий в течение 2 рабочих дней со дня получения письменного уведомления подписывает два экземпляра Соглашения по месту нахождения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подписанного Соглашения хранится в Министерстве, второй – у получателя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неподписании получателем субсидий Соглашения в течение 2 рабочих дней со дня получения письменного уведомления получатель субсидий признается уклонившимся от заключения Соглашения.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Обязательными условиями предоставления субсидий, включаемыми соответственно в Соглашение и в договоры, заключенные в целях исполнения обязательств по Соглашению,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согласие получателя субсидий, лиц, получающих средства на основании договоров, заключенных с получателем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>
        <w:rPr>
          <w:rFonts w:ascii="Times New Roman" w:hAnsi="Times New Roman"/>
          <w:color w:val="auto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статьями 268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269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включение таких положений в соглашение;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запрет приобретения получателем субсидий,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операций.</w:t>
      </w:r>
    </w:p>
    <w:p>
      <w:pPr>
        <w:pStyle w:val="Normal"/>
        <w:spacing w:lineRule="auto" w:line="240" w:before="0" w:after="0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>17. Обязательным условием предоставления субсидий, включаемым в Соглашение, является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Размер субсидий для достижения результатов предоставления субсидий в рамках результатов структурных элементов Программы, указанных в части 1 настоящего Порядка, определен Законом Камчатского края</w:t>
        <w:br/>
        <w:t>от 23.11.2023 № 300 «О краевом бюджете на 2024 год и на плановый период 2025 и 2026 годов» (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в 2024 году – </w:t>
      </w:r>
      <w:r>
        <w:rPr>
          <w:rFonts w:ascii="Times New Roman" w:hAnsi="Times New Roman"/>
          <w:sz w:val="28"/>
          <w:szCs w:val="28"/>
          <w:shd w:fill="auto" w:val="clear"/>
        </w:rPr>
        <w:t>9335,66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тыс. рублей, в 2025 году – </w:t>
      </w:r>
      <w:r>
        <w:rPr>
          <w:rFonts w:ascii="Times New Roman" w:hAnsi="Times New Roman"/>
          <w:sz w:val="28"/>
          <w:szCs w:val="28"/>
          <w:shd w:fill="auto" w:val="clear"/>
        </w:rPr>
        <w:t>9335,66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тыс. рублей, в 2026 году – </w:t>
      </w:r>
      <w:r>
        <w:rPr>
          <w:rFonts w:ascii="Times New Roman" w:hAnsi="Times New Roman"/>
          <w:sz w:val="28"/>
          <w:szCs w:val="28"/>
          <w:shd w:fill="auto" w:val="clear"/>
        </w:rPr>
        <w:t>9335,66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Перечисление субсидий осуществляется в пределах кассового плана по расходам краевого бюджета в соответствии с планом-графиком перечисления субсидий, установленным в приложении к Соглашению.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hAnsi="Times New Roman"/>
          <w:color w:val="auto"/>
          <w:sz w:val="28"/>
          <w:szCs w:val="28"/>
        </w:rPr>
        <w:t>Министерство перечисляет средства субсидий на расчетный или корреспондентский счет получателя субсидий, открытый в учреждениях Центрального банка Российской Федерации или кредитной организации, реквизиты которого указаны в Соглашении.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Ежегодно по состоянию на 31 декабря текущего года результатами предоставления субсидий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количество субъектов малого и среднего предпринимательства – экспортеров, заключивших экспортные контракты по результатам оказания услуг центром поддержки экспорта;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ежегодный объем экспорта субъектов малого и среднего предпринимательства, получивших поддержку центров поддержки экспорта.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Значения результатов предоставления субсидий устанавливаются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Получатель субсидий ежеквартально не позднее 10-го числа месяца, следующего за отчетным кварталом, в котором была получена субсидия, предоставляет в Министерство отчеты по формам, определенным типовыми формами соглашений, установленным Министерством финансов Камчатского края: отчет о достижении значений результатов предоставления субсидии; отчет о реализации плана мероприятий по достижению результатов предоставления субсидии (контрольных точек); отчет расходах, источником финансового обеспечения которых является субсидия.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представленные получателем субсидий в Министерство отчеты подлежат регистрации в день их поступления.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в течение 10 рабочих дней со дня регистрации отчетов, рассматривает их, проверяет полноту и достоверность содержащихся в отчетах сведений и принимает их.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в течение 3 рабочих дней со дня принятия отчетов, указанных в части 23 настоящего Порядка, направляет получателю субсидий сведения о принятии отчетов по форме и в порядке, определенным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Мониторинг достижения результатов предоставления субсидий,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Министерство осуществляет проверки соблюдения получателем субсидий, а также лицами, получающими средства на основании договоров, заключенных с получателями субсидий, в целях исполнения обязательств по Соглашению, условий и порядка предоставления субсидий, в том числе в части достижения результатов предоставления субсидии, а органы государственного финансового контроля осуществляют проверки в соответствии со статьями 268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и 269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26. Остаток субсидии, неиспользованный в отчетном финансовом году, может быть использован получателем субсидий в очередном финансовом году на цели, указанные в части 1 настоящего Порядка, при принятии Министерством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В случае выявления нарушений, в том числе по фактам проверок, указанных в части 25 настоящего Порядка, получатель субсидий обязан возвратить полученные средства субсидии в краевой бюджет на лицевой счет Министерства в следующем порядке и сроки: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Получатель субсидий обязан возвратить средства субсидии в следующих размерах: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случае, если по состоянию на 31 декабря года предоставления субсидии допущен факт недостижения значений результатов, установленных в Соглашении, субсидия подлежит возврату в краевой бюджет на лицевой счет Министерства – в размере, определяемом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возврата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субсидии</m:t>
            </m:r>
          </m:sub>
        </m:sSub>
        <m:r>
          <w:rPr>
            <w:rFonts w:ascii="Cambria Math" w:hAnsi="Cambria Math"/>
          </w:rPr>
          <m:t xml:space="preserve">×</m:t>
        </m:r>
        <m:f>
          <m:num>
            <m:nary>
              <m:naryPr>
                <m:chr m:val="∑"/>
                <m:subHide m:val="1"/>
                <m:supHide m:val="1"/>
              </m:naryPr>
              <m:sub/>
              <m:sup/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−</m:t>
                    </m:r>
                    <m:f>
                      <m:num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факт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</m:num>
                      <m:den>
                        <m:sSub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 xml:space="preserve">план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i</m:t>
                            </m:r>
                          </m:sub>
                        </m:sSub>
                      </m:den>
                    </m:f>
                  </m:e>
                </m:d>
              </m:e>
            </m:nary>
          </m:num>
          <m:den>
            <m:r>
              <w:rPr>
                <w:rFonts w:ascii="Cambria Math" w:hAnsi="Cambria Math"/>
              </w:rPr>
              <m:t xml:space="preserve">m</m:t>
            </m:r>
          </m:den>
        </m:f>
        <m:r>
          <w:rPr>
            <w:rFonts w:ascii="Cambria Math" w:hAnsi="Cambria Math"/>
          </w:rPr>
          <m:t xml:space="preserve">×</m:t>
        </m:r>
        <m:f>
          <m:num>
            <m:r>
              <w:rPr>
                <w:rFonts w:ascii="Cambria Math" w:hAnsi="Cambria Math"/>
              </w:rPr>
              <m:t xml:space="preserve">m</m:t>
            </m:r>
          </m:num>
          <m:den>
            <m:r>
              <w:rPr>
                <w:rFonts w:ascii="Cambria Math" w:hAnsi="Cambria Math"/>
              </w:rPr>
              <m:t xml:space="preserve">n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 где: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  <w:vertAlign w:val="subscript"/>
        </w:rPr>
        <w:t>возврата</w:t>
      </w:r>
      <w:r>
        <w:rPr>
          <w:rFonts w:cs="Times New Roman" w:ascii="Times New Roman" w:hAnsi="Times New Roman"/>
          <w:sz w:val="28"/>
          <w:szCs w:val="28"/>
        </w:rPr>
        <w:t xml:space="preserve"> – размер субсидии, подлежащей возврату;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  <w:vertAlign w:val="subscript"/>
        </w:rPr>
        <w:t>субсидии</w:t>
      </w:r>
      <w:r>
        <w:rPr>
          <w:rFonts w:cs="Times New Roman" w:ascii="Times New Roman" w:hAnsi="Times New Roman"/>
          <w:sz w:val="28"/>
          <w:szCs w:val="28"/>
        </w:rPr>
        <w:t xml:space="preserve"> – размер субсидии, предоставленной получателю субсидий;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  <w:vertAlign w:val="subscript"/>
        </w:rPr>
        <w:t>факт i</w:t>
      </w:r>
      <w:r>
        <w:rPr>
          <w:rFonts w:cs="Times New Roman" w:ascii="Times New Roman" w:hAnsi="Times New Roman"/>
          <w:sz w:val="28"/>
          <w:szCs w:val="28"/>
        </w:rPr>
        <w:t xml:space="preserve"> – фактически достигнутое значение i-го результата предоставления субсидии, установленного Соглашением;</w:t>
      </w:r>
    </w:p>
    <w:p>
      <w:pPr>
        <w:pStyle w:val="ConsPlusNormal"/>
        <w:spacing w:lineRule="auto" w:lin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</w:t>
      </w:r>
      <w:r>
        <w:rPr>
          <w:rFonts w:cs="Times New Roman" w:ascii="Times New Roman" w:hAnsi="Times New Roman"/>
          <w:sz w:val="28"/>
          <w:szCs w:val="28"/>
          <w:vertAlign w:val="subscript"/>
        </w:rPr>
        <w:t>план i</w:t>
      </w:r>
      <w:r>
        <w:rPr>
          <w:rFonts w:cs="Times New Roman" w:ascii="Times New Roman" w:hAnsi="Times New Roman"/>
          <w:sz w:val="28"/>
          <w:szCs w:val="28"/>
        </w:rPr>
        <w:t xml:space="preserve"> – плановое значение i-го результата предоставления субсидии, установленного Соглашением;</w:t>
      </w:r>
    </w:p>
    <w:p>
      <w:pPr>
        <w:pStyle w:val="ConsPlusNormal"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m – количество недостигнутых результатов предоставления субсидии, установленных Соглашением;</w:t>
      </w:r>
    </w:p>
    <w:p>
      <w:pPr>
        <w:pStyle w:val="ConsPlusNormal"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n – общее количество результатов предоставления субсидии, установленных Соглашением.</w:t>
      </w:r>
    </w:p>
    <w:p>
      <w:pPr>
        <w:pStyle w:val="ConsPlusNormal"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29. Письменное требование о возврате средств субсидии направляется Министерством получателю субсидий в течение 15 рабочих дней со дня выявления нарушений по фактам проверок, проведенных Министерством.</w:t>
      </w:r>
    </w:p>
    <w:p>
      <w:pPr>
        <w:pStyle w:val="ConsPlusNormal"/>
        <w:spacing w:lineRule="auto" w:line="240"/>
        <w:ind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sz w:val="28"/>
          <w:szCs w:val="28"/>
        </w:rPr>
        <w:t>30. При невозврате средств субсидии в сроки, установленные частью 27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субсидий обязанности возвратить средства субсидии в краевой бюджет.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 В случае выявления нарушений, в том числе по фактам проверок, указанных в части 25 настоящего Порядка, лица, получившие средства на основании договоров, заключенных с получателем субсидий, обязаны возвратить в сроки, не превышающие сроки, указанные в части 27 настоящего Порядка, средства, получе</w:t>
      </w:r>
      <w:bookmarkStart w:id="3" w:name="_GoBack_Копия_1"/>
      <w:bookmarkEnd w:id="3"/>
      <w:r>
        <w:rPr>
          <w:rFonts w:ascii="Times New Roman" w:hAnsi="Times New Roman"/>
          <w:sz w:val="28"/>
          <w:szCs w:val="28"/>
        </w:rPr>
        <w:t>нные за счет средств субсидии, на счет получателя субсидий в целях последующего возврата указанных средств получателем субсидий в краевой бюджет в срок не позднее 10 рабочих дней со дня поступления денежных средств на его счет.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32. В случае невозврата лицами, указанными в части 31 настоящего Порядка, средств, полученных за счет средств субсидии, на счет получателя субсидий в сроки, указанные в требовании о возврате средств, полученных за счет средств субсидии, получатель субсидий,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позднее 30 рабочих дней со дня, когда получателю субсидий стало известно о неисполнении лицами, указанными в части 31 настоящего Порядка, обязанности возвратить средства, полученные за счет средств субсидии, на счет получателя субсидий.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Cs w:val="false"/>
          <w:sz w:val="28"/>
        </w:rPr>
      </w:pPr>
      <w:r>
        <w:rPr/>
      </w:r>
    </w:p>
    <w:sectPr>
      <w:type w:val="nextPage"/>
      <w:pgSz w:w="11906" w:h="16838"/>
      <w:pgMar w:left="1418" w:right="851" w:gutter="0" w:header="0" w:top="645" w:footer="0" w:bottom="93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link w:val="1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next w:val="Normal"/>
    <w:link w:val="1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link w:val="2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3">
    <w:name w:val="Heading 3"/>
    <w:next w:val="Normal"/>
    <w:link w:val="3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imes New Roman" w:cs="Times New Roman"/>
      <w:b/>
      <w:color w:val="000000"/>
      <w:kern w:val="0"/>
      <w:sz w:val="26"/>
      <w:szCs w:val="20"/>
      <w:lang w:val="ru-RU" w:eastAsia="ru-RU" w:bidi="ar-SA"/>
    </w:rPr>
  </w:style>
  <w:style w:type="paragraph" w:styleId="4">
    <w:name w:val="Heading 4"/>
    <w:next w:val="Normal"/>
    <w:link w:val="42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imes New Roman" w:cs="Times New Roman"/>
      <w:b/>
      <w:color w:val="000000"/>
      <w:kern w:val="0"/>
      <w:sz w:val="24"/>
      <w:szCs w:val="20"/>
      <w:lang w:val="ru-RU" w:eastAsia="ru-RU" w:bidi="ar-SA"/>
    </w:rPr>
  </w:style>
  <w:style w:type="paragraph" w:styleId="5">
    <w:name w:val="Heading 5"/>
    <w:next w:val="Normal"/>
    <w:link w:val="51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/>
  </w:style>
  <w:style w:type="character" w:styleId="21" w:customStyle="1">
    <w:name w:val="Оглавление 2 Знак"/>
    <w:qFormat/>
    <w:rPr>
      <w:rFonts w:ascii="XO Thames" w:hAnsi="XO Thames"/>
      <w:sz w:val="28"/>
    </w:rPr>
  </w:style>
  <w:style w:type="character" w:styleId="41" w:customStyle="1">
    <w:name w:val="Оглавление 4 Знак"/>
    <w:qFormat/>
    <w:rPr>
      <w:rFonts w:ascii="XO Thames" w:hAnsi="XO Thames"/>
      <w:sz w:val="28"/>
    </w:rPr>
  </w:style>
  <w:style w:type="character" w:styleId="Style9" w:customStyle="1">
    <w:name w:val="Верхний колонтитул Знак"/>
    <w:basedOn w:val="11"/>
    <w:qFormat/>
    <w:rPr/>
  </w:style>
  <w:style w:type="character" w:styleId="6" w:customStyle="1">
    <w:name w:val="Оглавление 6 Знак"/>
    <w:qFormat/>
    <w:rPr>
      <w:rFonts w:ascii="XO Thames" w:hAnsi="XO Thames"/>
      <w:sz w:val="28"/>
    </w:rPr>
  </w:style>
  <w:style w:type="character" w:styleId="7" w:customStyle="1">
    <w:name w:val="Оглавление 7 Знак"/>
    <w:qFormat/>
    <w:rPr>
      <w:rFonts w:ascii="XO Thames" w:hAnsi="XO Thames"/>
      <w:sz w:val="28"/>
    </w:rPr>
  </w:style>
  <w:style w:type="character" w:styleId="31" w:customStyle="1">
    <w:name w:val="Заголовок 3 Знак"/>
    <w:qFormat/>
    <w:rPr>
      <w:rFonts w:ascii="XO Thames" w:hAnsi="XO Thames"/>
      <w:b/>
      <w:sz w:val="26"/>
    </w:rPr>
  </w:style>
  <w:style w:type="character" w:styleId="Style10" w:customStyle="1">
    <w:name w:val="Текст Знак"/>
    <w:basedOn w:val="11"/>
    <w:link w:val="PlainText"/>
    <w:qFormat/>
    <w:rPr>
      <w:rFonts w:ascii="Calibri" w:hAnsi="Calibri"/>
    </w:rPr>
  </w:style>
  <w:style w:type="character" w:styleId="32" w:customStyle="1">
    <w:name w:val="Оглавление 3 Знак"/>
    <w:qFormat/>
    <w:rPr>
      <w:rFonts w:ascii="XO Thames" w:hAnsi="XO Thames"/>
      <w:sz w:val="28"/>
    </w:rPr>
  </w:style>
  <w:style w:type="character" w:styleId="51" w:customStyle="1">
    <w:name w:val="Заголовок 5 Знак"/>
    <w:qFormat/>
    <w:rPr>
      <w:rFonts w:ascii="XO Thames" w:hAnsi="XO Thames"/>
      <w:b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link w:val="14"/>
    <w:rPr>
      <w:color w:val="0563C1" w:themeColor="hyperlink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3" w:customStyle="1">
    <w:name w:val="Оглавление 1 Знак"/>
    <w:qFormat/>
    <w:rPr>
      <w:rFonts w:ascii="XO Thames" w:hAnsi="XO Thames"/>
      <w:b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>
      <w:rFonts w:ascii="XO Thames" w:hAnsi="XO Thames"/>
      <w:sz w:val="28"/>
    </w:rPr>
  </w:style>
  <w:style w:type="character" w:styleId="8" w:customStyle="1">
    <w:name w:val="Оглавление 8 Знак"/>
    <w:qFormat/>
    <w:rPr>
      <w:rFonts w:ascii="XO Thames" w:hAnsi="XO Thames"/>
      <w:sz w:val="28"/>
    </w:rPr>
  </w:style>
  <w:style w:type="character" w:styleId="52" w:customStyle="1">
    <w:name w:val="Оглавление 5 Знак"/>
    <w:qFormat/>
    <w:rPr>
      <w:rFonts w:ascii="XO Thames" w:hAnsi="XO Thames"/>
      <w:sz w:val="28"/>
    </w:rPr>
  </w:style>
  <w:style w:type="character" w:styleId="Style11" w:customStyle="1">
    <w:name w:val="Подзаголовок Знак"/>
    <w:qFormat/>
    <w:rPr>
      <w:rFonts w:ascii="XO Thames" w:hAnsi="XO Thames"/>
      <w:i/>
      <w:sz w:val="24"/>
    </w:rPr>
  </w:style>
  <w:style w:type="character" w:styleId="Style12" w:customStyle="1">
    <w:name w:val="Нижний колонтитул Знак"/>
    <w:basedOn w:val="11"/>
    <w:qFormat/>
    <w:rPr>
      <w:rFonts w:ascii="Times New Roman" w:hAnsi="Times New Roman"/>
      <w:sz w:val="28"/>
    </w:rPr>
  </w:style>
  <w:style w:type="character" w:styleId="Style13" w:customStyle="1">
    <w:name w:val="Название Знак"/>
    <w:qFormat/>
    <w:rPr>
      <w:rFonts w:ascii="XO Thames" w:hAnsi="XO Thames"/>
      <w:b/>
      <w:caps/>
      <w:sz w:val="40"/>
    </w:rPr>
  </w:style>
  <w:style w:type="character" w:styleId="Style14" w:customStyle="1">
    <w:name w:val="Текст выноски Знак"/>
    <w:basedOn w:val="11"/>
    <w:link w:val="BalloonText"/>
    <w:qFormat/>
    <w:rPr>
      <w:rFonts w:ascii="Segoe UI" w:hAnsi="Segoe UI"/>
      <w:sz w:val="18"/>
    </w:rPr>
  </w:style>
  <w:style w:type="character" w:styleId="42" w:customStyle="1">
    <w:name w:val="Заголовок 4 Знак"/>
    <w:qFormat/>
    <w:rPr>
      <w:rFonts w:ascii="XO Thames" w:hAnsi="XO Thames"/>
      <w:b/>
      <w:sz w:val="24"/>
    </w:rPr>
  </w:style>
  <w:style w:type="character" w:styleId="22" w:customStyle="1">
    <w:name w:val="Заголовок 2 Знак"/>
    <w:qFormat/>
    <w:rPr>
      <w:rFonts w:ascii="XO Thames" w:hAnsi="XO Thames"/>
      <w:b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23">
    <w:name w:val="TOC 2"/>
    <w:next w:val="Normal"/>
    <w:link w:val="21"/>
    <w:uiPriority w:val="39"/>
    <w:pPr>
      <w:widowControl/>
      <w:suppressAutoHyphens w:val="true"/>
      <w:bidi w:val="0"/>
      <w:spacing w:lineRule="auto" w:line="264" w:before="0" w:after="160"/>
      <w:ind w:left="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43">
    <w:name w:val="TOC 4"/>
    <w:next w:val="Normal"/>
    <w:link w:val="41"/>
    <w:uiPriority w:val="39"/>
    <w:pPr>
      <w:widowControl/>
      <w:suppressAutoHyphens w:val="true"/>
      <w:bidi w:val="0"/>
      <w:spacing w:lineRule="auto" w:line="264" w:before="0" w:after="160"/>
      <w:ind w:left="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0" w:customStyle="1">
    <w:name w:val="Колонтитул"/>
    <w:qFormat/>
    <w:pPr>
      <w:widowControl/>
      <w:suppressAutoHyphens w:val="true"/>
      <w:bidi w:val="0"/>
      <w:spacing w:lineRule="auto" w:line="240" w:before="0" w:after="160"/>
      <w:jc w:val="both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Styl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TOC 6"/>
    <w:next w:val="Normal"/>
    <w:link w:val="6"/>
    <w:uiPriority w:val="39"/>
    <w:pPr>
      <w:widowControl/>
      <w:suppressAutoHyphens w:val="true"/>
      <w:bidi w:val="0"/>
      <w:spacing w:lineRule="auto" w:line="264" w:before="0" w:after="160"/>
      <w:ind w:left="10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71">
    <w:name w:val="TOC 7"/>
    <w:next w:val="Normal"/>
    <w:link w:val="7"/>
    <w:uiPriority w:val="39"/>
    <w:pPr>
      <w:widowControl/>
      <w:suppressAutoHyphens w:val="true"/>
      <w:bidi w:val="0"/>
      <w:spacing w:lineRule="auto" w:line="264" w:before="0" w:after="160"/>
      <w:ind w:left="12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PlainText">
    <w:name w:val="Plain Text"/>
    <w:basedOn w:val="Normal"/>
    <w:link w:val="Style10"/>
    <w:qFormat/>
    <w:pPr>
      <w:spacing w:lineRule="auto" w:line="240" w:before="0" w:after="0"/>
    </w:pPr>
    <w:rPr>
      <w:rFonts w:ascii="Calibri" w:hAnsi="Calibri"/>
    </w:rPr>
  </w:style>
  <w:style w:type="paragraph" w:styleId="33">
    <w:name w:val="TOC 3"/>
    <w:next w:val="Normal"/>
    <w:link w:val="32"/>
    <w:uiPriority w:val="39"/>
    <w:pPr>
      <w:widowControl/>
      <w:suppressAutoHyphens w:val="true"/>
      <w:bidi w:val="0"/>
      <w:spacing w:lineRule="auto" w:line="264" w:before="0" w:after="160"/>
      <w:ind w:left="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14" w:customStyle="1">
    <w:name w:val="Гиперссылка1"/>
    <w:basedOn w:val="16"/>
    <w:qFormat/>
    <w:pPr/>
    <w:rPr>
      <w:color w:val="0563C1" w:themeColor="hyperlink"/>
      <w:u w:val="single"/>
    </w:rPr>
  </w:style>
  <w:style w:type="paragraph" w:styleId="Footnote1" w:customStyle="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5">
    <w:name w:val="TOC 1"/>
    <w:next w:val="Normal"/>
    <w:link w:val="13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imes New Roman" w:cs="Times New Roman"/>
      <w:b/>
      <w:color w:val="000000"/>
      <w:kern w:val="0"/>
      <w:sz w:val="28"/>
      <w:szCs w:val="20"/>
      <w:lang w:val="ru-RU" w:eastAsia="ru-RU" w:bidi="ar-SA"/>
    </w:rPr>
  </w:style>
  <w:style w:type="paragraph" w:styleId="16" w:customStyle="1">
    <w:name w:val="Основной шрифт абзаца1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91">
    <w:name w:val="TOC 9"/>
    <w:next w:val="Normal"/>
    <w:link w:val="9"/>
    <w:uiPriority w:val="39"/>
    <w:pPr>
      <w:widowControl/>
      <w:suppressAutoHyphens w:val="true"/>
      <w:bidi w:val="0"/>
      <w:spacing w:lineRule="auto" w:line="264" w:before="0" w:after="160"/>
      <w:ind w:left="16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81">
    <w:name w:val="TOC 8"/>
    <w:next w:val="Normal"/>
    <w:link w:val="8"/>
    <w:uiPriority w:val="39"/>
    <w:pPr>
      <w:widowControl/>
      <w:suppressAutoHyphens w:val="true"/>
      <w:bidi w:val="0"/>
      <w:spacing w:lineRule="auto" w:line="264" w:before="0" w:after="160"/>
      <w:ind w:left="14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53">
    <w:name w:val="TOC 5"/>
    <w:next w:val="Normal"/>
    <w:link w:val="52"/>
    <w:uiPriority w:val="39"/>
    <w:pPr>
      <w:widowControl/>
      <w:suppressAutoHyphens w:val="true"/>
      <w:bidi w:val="0"/>
      <w:spacing w:lineRule="auto" w:line="264" w:before="0" w:after="160"/>
      <w:ind w:left="800" w:hanging="0"/>
      <w:jc w:val="left"/>
    </w:pPr>
    <w:rPr>
      <w:rFonts w:ascii="XO Thames" w:hAnsi="XO Thames" w:eastAsia="Times New Roman" w:cs="Times New Roman"/>
      <w:color w:val="000000"/>
      <w:kern w:val="0"/>
      <w:sz w:val="28"/>
      <w:szCs w:val="20"/>
      <w:lang w:val="ru-RU" w:eastAsia="ru-RU" w:bidi="ar-SA"/>
    </w:rPr>
  </w:style>
  <w:style w:type="paragraph" w:styleId="Style22">
    <w:name w:val="Subtitle"/>
    <w:next w:val="Normal"/>
    <w:link w:val="Style11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imes New Roman" w:cs="Times New Roman"/>
      <w:i/>
      <w:color w:val="000000"/>
      <w:kern w:val="0"/>
      <w:sz w:val="24"/>
      <w:szCs w:val="20"/>
      <w:lang w:val="ru-RU" w:eastAsia="ru-RU" w:bidi="ar-SA"/>
    </w:rPr>
  </w:style>
  <w:style w:type="paragraph" w:styleId="Style23">
    <w:name w:val="Footer"/>
    <w:basedOn w:val="Normal"/>
    <w:link w:val="Style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Style24">
    <w:name w:val="Title"/>
    <w:next w:val="Normal"/>
    <w:link w:val="Style13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imes New Roman" w:cs="Times New Roman"/>
      <w:b/>
      <w:caps/>
      <w:color w:val="000000"/>
      <w:kern w:val="0"/>
      <w:sz w:val="40"/>
      <w:szCs w:val="20"/>
      <w:lang w:val="ru-RU" w:eastAsia="ru-RU" w:bidi="ar-SA"/>
    </w:rPr>
  </w:style>
  <w:style w:type="paragraph" w:styleId="BalloonText">
    <w:name w:val="Balloon Text"/>
    <w:basedOn w:val="Normal"/>
    <w:link w:val="Style14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64" w:before="0" w:after="0"/>
      <w:ind w:firstLine="720"/>
      <w:jc w:val="left"/>
    </w:pPr>
    <w:rPr>
      <w:rFonts w:ascii="Arial" w:hAnsi="Arial" w:eastAsia="Tahoma" w:cs="Lohit Devanagari"/>
      <w:color w:val="000000"/>
      <w:kern w:val="0"/>
      <w:sz w:val="20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Application>LibreOffice/7.5.3.2$Windows_X86_64 LibreOffice_project/9f56dff12ba03b9acd7730a5a481eea045e468f3</Application>
  <AppVersion>15.0000</AppVersion>
  <Pages>13</Pages>
  <Words>3481</Words>
  <Characters>25575</Characters>
  <CharactersWithSpaces>28973</CharactersWithSpaces>
  <Paragraphs>155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2023-05-02T08:03:00Z</dcterms:created>
  <dc:creator/>
  <dc:description/>
  <dc:language>ru-RU</dc:language>
  <cp:lastModifiedBy/>
  <dcterms:modified xsi:type="dcterms:W3CDTF">2024-01-15T14:23:02Z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