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75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Об утверждении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Порядка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предоставления в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2024 году субсидии из краевого бюджета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auto"/>
          <w:sz w:val="28"/>
        </w:rPr>
        <w:t>В соответствии с пунктом 2 статьи 78</w:t>
      </w:r>
      <w:r>
        <w:rPr>
          <w:rFonts w:ascii="Times New Roman" w:hAnsi="Times New Roman"/>
          <w:color w:val="auto"/>
          <w:sz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i/>
          <w:iCs/>
          <w:sz w:val="28"/>
        </w:rPr>
        <w:t>Порядок п</w:t>
      </w:r>
      <w:r>
        <w:rPr>
          <w:rFonts w:ascii="Times New Roman" w:hAnsi="Times New Roman"/>
          <w:b w:val="false"/>
          <w:bCs w:val="false"/>
          <w:i/>
          <w:iCs/>
          <w:sz w:val="28"/>
          <w:shd w:fill="auto" w:val="clear"/>
        </w:rPr>
        <w:t xml:space="preserve">редоставления 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2024 году субсидии </w:t>
      </w:r>
      <w:r>
        <w:rPr>
          <w:rFonts w:ascii="Times New Roman" w:hAnsi="Times New Roman"/>
          <w:b w:val="false"/>
          <w:bCs w:val="false"/>
          <w:i/>
          <w:iCs/>
          <w:sz w:val="28"/>
          <w:shd w:fill="auto" w:val="clear"/>
        </w:rPr>
        <w:t xml:space="preserve">из краевого бюджета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851" w:gutter="0" w:header="405" w:top="964" w:footer="0" w:bottom="608"/>
          <w:pgNumType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tbl>
      <w:tblPr>
        <w:tblStyle w:val="af0"/>
        <w:tblW w:w="96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1"/>
        <w:gridCol w:w="480"/>
        <w:gridCol w:w="1885"/>
        <w:gridCol w:w="485"/>
        <w:gridCol w:w="168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hd w:fill="auto" w:val="clear"/>
        </w:rPr>
        <w:t xml:space="preserve">Порядок предоставления 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2024 году субсидии </w:t>
      </w:r>
      <w:r>
        <w:rPr>
          <w:rFonts w:ascii="Times New Roman" w:hAnsi="Times New Roman"/>
          <w:b w:val="false"/>
          <w:bCs w:val="false"/>
          <w:i/>
          <w:iCs/>
          <w:sz w:val="28"/>
          <w:shd w:fill="auto" w:val="clear"/>
        </w:rPr>
        <w:t xml:space="preserve">из краевого бюджета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1. Настоящий Порядок регулирует вопросы предоставления из краевого бюджета субсидии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, в целях достижения результатов регионального проекта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Системные меры развития международной кооперации и экспорта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 (далее соответственно – субсидия, Программа).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в том числе поступивших из федерального бюджета, доведенных в установленном порядке до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за счет средств краевого бюджета в период действия структурных элементов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Способ предоставления субсидии – финансовое обеспечение затр</w:t>
      </w:r>
      <w:r>
        <w:rPr>
          <w:rFonts w:ascii="Times New Roman" w:hAnsi="Times New Roman"/>
          <w:sz w:val="28"/>
          <w:szCs w:val="28"/>
        </w:rPr>
        <w:t>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Получателем субсидии является автономная некоммерческая организация «Камчатский выставочно-туристический центр» (далее – АНО «КВТЦ», </w:t>
      </w:r>
      <w:r>
        <w:rPr>
          <w:rFonts w:ascii="Times New Roman" w:hAnsi="Times New Roman"/>
          <w:color w:val="auto"/>
          <w:sz w:val="28"/>
          <w:szCs w:val="28"/>
        </w:rPr>
        <w:t>получатель субсидии).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6. Направлениями расходов, источником финансового о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shd w:fill="auto" w:val="clear"/>
        </w:rPr>
        <w:t xml:space="preserve">беспечения которых является субсидия, являются </w:t>
      </w:r>
      <w:r>
        <w:rPr>
          <w:rFonts w:ascii="Times New Roman" w:hAnsi="Times New Roman"/>
          <w:b w:val="false"/>
          <w:bCs w:val="false"/>
          <w:i/>
          <w:iCs/>
          <w:sz w:val="28"/>
        </w:rPr>
        <w:t>организационные расходы АНО «КВТЦ» на организацию участия представителей субъектов малого и среднего предпринимательства камчатского края 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Международной выставке туризма и индустрии гостеприимства МИТТ 2024,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1)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а</w:t>
      </w: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ренда выставочной площади;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2) аренда оборудования;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3) уборка арендуемой площади;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4) регистрационный взнос;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5) размещение информации о субъектах малого и среднего предпринимательства в каталоге выставки;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6) оплата коммунальных расходов (электропитание, интернет);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7) работы по подготовке экспозиции (застройка стенда);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8) изготовление дизайн-макетов;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9) изготовление полиграфической продукции;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10) изготовление интерактивного контента.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7. Условием предоставлени</w:t>
      </w:r>
      <w:r>
        <w:rPr>
          <w:rFonts w:ascii="Times New Roman" w:hAnsi="Times New Roman"/>
          <w:sz w:val="28"/>
          <w:szCs w:val="28"/>
        </w:rPr>
        <w:t>я субсидии является соответствие получателя субсидии на первое число месяца, в котором подаются указанные в части 8 настоящего Порядка документы для получения субсидии,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получатель субсидии не находится в перечне организаций </w:t>
      </w:r>
      <w:r>
        <w:rPr>
          <w:rFonts w:ascii="Times New Roman" w:hAnsi="Times New Roman"/>
          <w:color w:val="auto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получатель </w:t>
      </w:r>
      <w:r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5) получатель субсидии не является иностранным агентом 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от 14.07.2022 № 255-ФЗ «</w:t>
      </w:r>
      <w:r>
        <w:rPr>
          <w:rFonts w:ascii="Times New Roman" w:hAnsi="Times New Roman"/>
          <w:color w:val="auto"/>
          <w:sz w:val="28"/>
          <w:szCs w:val="28"/>
        </w:rPr>
        <w:t>О контроле за деятельностью лиц, находящихся под иностранным влиянием»;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color w:val="auto"/>
          <w:sz w:val="28"/>
          <w:szCs w:val="28"/>
        </w:rPr>
        <w:t>у получателя субсидии отсутствуют просроченная з</w:t>
      </w:r>
      <w:r>
        <w:rPr>
          <w:rFonts w:ascii="Times New Roman" w:hAnsi="Times New Roman"/>
          <w:sz w:val="28"/>
          <w:szCs w:val="28"/>
        </w:rPr>
        <w:t xml:space="preserve">адолженность по возврату в краевой бюджет </w:t>
      </w:r>
      <w:r>
        <w:rPr>
          <w:rFonts w:ascii="Times New Roman" w:hAnsi="Times New Roman"/>
          <w:color w:val="auto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получатель субсидии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реестре дисквалифицированных лиц отсутствуют сведения о дисквалифицированном руководителе или главном бухгалтере получателя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Для получения субсидии получатель субсидии в срок до 15 февраля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представляет </w:t>
      </w:r>
      <w:r>
        <w:rPr>
          <w:rFonts w:ascii="Times New Roman" w:hAnsi="Times New Roman"/>
          <w:color w:val="auto"/>
          <w:sz w:val="28"/>
          <w:szCs w:val="28"/>
        </w:rPr>
        <w:t>нарочно</w:t>
      </w:r>
      <w:r>
        <w:rPr>
          <w:rFonts w:ascii="Times New Roman" w:hAnsi="Times New Roman"/>
          <w:sz w:val="28"/>
          <w:szCs w:val="28"/>
        </w:rPr>
        <w:t xml:space="preserve"> в Министерство заявку на предоставление субсидии отдельно по каждому структурному элементу Программы в произвольной форме с указанием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перечисляются субсидия, и следующие докум</w:t>
      </w:r>
      <w:r>
        <w:rPr>
          <w:rFonts w:ascii="Times New Roman" w:hAnsi="Times New Roman"/>
          <w:color w:val="auto"/>
          <w:sz w:val="28"/>
          <w:szCs w:val="28"/>
        </w:rPr>
        <w:t xml:space="preserve">енты: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копии учредительных документов получателя субсидии с одновременным представлением подлинников для сверки;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справку, подписанную руководителем получателя субсидии, подтверждающую соответствие получателя субсидии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требованиям,</w:t>
      </w:r>
      <w:r>
        <w:rPr>
          <w:rFonts w:ascii="Times New Roman" w:hAnsi="Times New Roman"/>
          <w:sz w:val="28"/>
          <w:szCs w:val="28"/>
        </w:rPr>
        <w:t xml:space="preserve"> установленным частью 7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 мероприятий на финансовый год с указанием сроков проведения мероприятий и размера средств, необходимых для их реализации, с приложением финансово-экономического обоснования расходов на организацию и проведение мероприятий (далее – План мероприятий).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Все представленные получателем субсидии в Министерство документы подлежат регистрации в день их поступления.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сведения и осуществляет проверку полноты и достоверности содержащихся в документах сведений получателя субсидии на соответствие указанным в части 7 настоящего Порядка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пунктами 1 и 8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соответствии с пунктом 2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соответствии с пунктом 3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соответствии с пунктом 5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соответствии с пунктом 6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соответствии с пунктом 7 части 7 настоящего Порядка на основании данных, полученных от главных распорядителей бюджетных средств, предоставляющих из краевого бюджета субсидию получателю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соответствии с пунктом 9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Основаниями для отказа в предоставлении субсидии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color w:val="auto"/>
          <w:sz w:val="28"/>
          <w:szCs w:val="28"/>
        </w:rPr>
        <w:t xml:space="preserve">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несоответствие получателя субсидии</w:t>
      </w:r>
      <w:r>
        <w:rPr>
          <w:rFonts w:ascii="Times New Roman" w:hAnsi="Times New Roman"/>
          <w:sz w:val="28"/>
          <w:szCs w:val="28"/>
        </w:rPr>
        <w:t xml:space="preserve"> условию предоставления субсидии, установленному частью 7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color w:val="auto"/>
          <w:sz w:val="28"/>
          <w:szCs w:val="28"/>
        </w:rPr>
        <w:t>В случае отказа в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14. Субсидия предоставляется на основании соглашения о предоставлении субсидии (далее – Соглашение),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Министерство в течение 3 рабочих дней со дня принятия решения о предоставлении субсидии подготавливает два экземпляра Соглашения в письменной форме, подписывает их и направляет получателю субсидии письменное уведомление (посредством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субсидии) о необходимости явиться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подписанного Соглашения хранится в Министерстве, второй – у получателя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неподписании получателем субсидии Соглашения в течение 2 рабочих дней со дня получения письменного уведомления получатель субсидии признается уклонившимся от заключения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Обязательными условиями предоставления субсидии, включаемыми соответственно в Соглашение и в договоры, заключенные в целях исполнения обязательств по Соглашению,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hAnsi="Times New Roman"/>
          <w:color w:val="auto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17. 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Размер субсидий для достижения результатов предоставления субсидии в рамках результатов структурных элементов Программы, указанных в части 1 настоящего Порядка, определен Законом Камчатского края</w:t>
        <w:br/>
        <w:t xml:space="preserve">от 23.11.2023 № 300 «О краевом бюджете на 2024 год и на плановый период 2025 и 2026 годов» и составляет </w:t>
      </w:r>
      <w:r>
        <w:rPr>
          <w:rFonts w:ascii="Times New Roman" w:hAnsi="Times New Roman"/>
          <w:sz w:val="28"/>
          <w:szCs w:val="28"/>
          <w:shd w:fill="auto" w:val="clear"/>
        </w:rPr>
        <w:t>в 2024 году за счет средств краевого бюджета – 7777,00 тыс. рублей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color w:val="auto"/>
          <w:sz w:val="28"/>
          <w:szCs w:val="28"/>
        </w:rPr>
        <w:t>Министерство перечисляет средства субсидии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состоянию на 31 декабря текущего года результатом предоставления субсидии является </w:t>
      </w:r>
      <w:r>
        <w:rPr>
          <w:rFonts w:ascii="Times New Roman" w:hAnsi="Times New Roman"/>
          <w:sz w:val="28"/>
          <w:szCs w:val="28"/>
          <w:shd w:fill="FFFF00" w:val="clear"/>
        </w:rPr>
        <w:t>Организовано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участие делегации Камчатского края в международных конгрессно-выставочных и презентационных мероприятиях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Значения результатов предоставления субсидии устанавливаются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Получатель субсидии ежеквартально не позднее 10-го числа месяца, следующего за отчетным кварталом, в котором была получена субсидия, предоставляет в Министерство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о реализации плана мероприятий по достижению результатов предоставления субсидии (контрольных точек); отчет о расходах, источником финансового обеспечения которых является субсидия.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3 рабочих дней со дня принятия отчетов, указанных в части 23 настоящего Порядка, направляет получателю субсидии сведения о принятии отчетов по форме и в порядке, определенным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Министерство осуществляет проверки соблюдения получателем субсидии, а также лицами, получающими средства на основании договоров, заключенных с получателями субсидии, в целях исполнения обязательств по Соглашению, условий и порядка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26. Остаток субсидии, неиспользованный в отчетном финансовом году, может быть использован получателем субсидии в очередном финансовом году на цели, указанные в части 1 настоящего Порядка, при принятии Министерством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выявления нарушений, в том числе по фактам проверок, указанных в части 25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Получатель субсидии обязан возвратить средства субсидии в следующих размерах: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случае, если по состоянию на 31 декабря года предоставления субсидии допущен факт недостижения значений результатов, установленных в Соглашении, субсидия подлежит возврату в краевой бюджет на лицевой счет Министерства – в размере, определяемом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возврата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субсидии</m:t>
            </m:r>
          </m:sub>
        </m:sSub>
        <m:r>
          <w:rPr>
            <w:rFonts w:ascii="Cambria Math" w:hAnsi="Cambria Math"/>
          </w:rPr>
          <m:t xml:space="preserve">×</m:t>
        </m:r>
        <m:f>
          <m:num>
            <m:nary>
              <m:naryPr>
                <m:chr m:val="∑"/>
                <m:subHide m:val="1"/>
                <m:supHide m:val="1"/>
              </m:naryPr>
              <m:sub/>
              <m:sup/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план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r>
          <w:rPr>
            <w:rFonts w:ascii="Cambria Math" w:hAnsi="Cambria Math"/>
          </w:rPr>
          <m:t xml:space="preserve">×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где: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возврата</w:t>
      </w:r>
      <w:r>
        <w:rPr>
          <w:rFonts w:cs="Times New Roman" w:ascii="Times New Roman" w:hAnsi="Times New Roman"/>
          <w:sz w:val="28"/>
          <w:szCs w:val="28"/>
        </w:rPr>
        <w:t xml:space="preserve"> – размер субсидии, подлежащей возврату;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vertAlign w:val="subscript"/>
        </w:rPr>
        <w:t>субсидии</w:t>
      </w:r>
      <w:r>
        <w:rPr>
          <w:rFonts w:cs="Times New Roman" w:ascii="Times New Roman" w:hAnsi="Times New Roman"/>
          <w:sz w:val="28"/>
          <w:szCs w:val="28"/>
        </w:rPr>
        <w:t xml:space="preserve"> – размер субсидии, предоставленной получателю субсидии;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 i</w:t>
      </w:r>
      <w:r>
        <w:rPr>
          <w:rFonts w:cs="Times New Roman" w:ascii="Times New Roman" w:hAnsi="Times New Roman"/>
          <w:sz w:val="28"/>
          <w:szCs w:val="28"/>
        </w:rPr>
        <w:t xml:space="preserve"> – фактически достигнутое значение i-го результата предоставления субсидии, установленного Соглашением;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план i</w:t>
      </w:r>
      <w:r>
        <w:rPr>
          <w:rFonts w:cs="Times New Roman" w:ascii="Times New Roman" w:hAnsi="Times New Roman"/>
          <w:sz w:val="28"/>
          <w:szCs w:val="28"/>
        </w:rPr>
        <w:t xml:space="preserve"> – плановое значение i-го результата предоставления субсидии, установленного Соглашением;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m – количество недостигнутых результатов предоставления субсидии, установленных Соглашением;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n – общее количество результатов предоставления субсидии, установленных Соглашением.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29. Письменное требование о возврате средств субсидии направляется Министерством получателю субсидий в течение 15 рабочих дней со дня выявления нарушений по фактам проверок, проведенных Министерством.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30. При невозврате средств субсидии в сроки, установленные частью 27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выявления нарушений, в том числе по фактам проверок, указанных в части 25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27 настоящего Порядка, средства, получе</w:t>
      </w:r>
      <w:bookmarkStart w:id="3" w:name="_GoBack_Копия_1"/>
      <w:bookmarkEnd w:id="3"/>
      <w:r>
        <w:rPr>
          <w:rFonts w:ascii="Times New Roman" w:hAnsi="Times New Roman"/>
          <w:sz w:val="28"/>
          <w:szCs w:val="28"/>
        </w:rPr>
        <w:t>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32. В случае невозврата лицами, указанными в части 31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31 настоящего Порядка, обязанности возвратить средства, полученные за счет средств субсидии, на счет получателя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851" w:gutter="0" w:header="645" w:top="1204" w:footer="0" w:bottom="93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10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64" w:before="0" w:after="0"/>
      <w:ind w:firstLine="720"/>
      <w:jc w:val="left"/>
    </w:pPr>
    <w:rPr>
      <w:rFonts w:ascii="Arial" w:hAnsi="Arial" w:eastAsia="Tahoma" w:cs="Lohit Devanagari"/>
      <w:color w:val="000000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Application>LibreOffice/7.5.3.2$Windows_X86_64 LibreOffice_project/9f56dff12ba03b9acd7730a5a481eea045e468f3</Application>
  <AppVersion>15.0000</AppVersion>
  <Pages>10</Pages>
  <Words>2820</Words>
  <Characters>20378</Characters>
  <CharactersWithSpaces>23112</CharactersWithSpaces>
  <Paragraphs>112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cp:lastPrinted>2024-02-01T15:08:53Z</cp:lastPrinted>
  <dcterms:modified xsi:type="dcterms:W3CDTF">2024-02-01T16:15:02Z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