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 w:firstLine="540" w:left="0"/>
        <w:jc w:val="both"/>
        <w:outlineLvl w:val="0"/>
        <w:rPr>
          <w:rFonts w:ascii="Times New Roman" w:hAnsi="Times New Roman"/>
          <w:color w:val="000000"/>
        </w:rPr>
      </w:pPr>
    </w:p>
    <w:p w14:paraId="14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СОВЕТ ДЕПУТАТОВ ГОРОДСКОГО ОКРУГА "ПОСЕЛОК ПАЛАНА"</w:t>
      </w:r>
    </w:p>
    <w:p w14:paraId="15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КАМЧАТСКОГО КРАЯ</w:t>
      </w:r>
    </w:p>
    <w:p w14:paraId="16000000">
      <w:pPr>
        <w:pStyle w:val="Style_2"/>
        <w:ind/>
        <w:jc w:val="center"/>
        <w:rPr>
          <w:rFonts w:ascii="Times New Roman" w:hAnsi="Times New Roman"/>
          <w:color w:val="000000"/>
        </w:rPr>
      </w:pPr>
    </w:p>
    <w:p w14:paraId="17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НОРМАТИВНЫЙ ПРАВОВОЙ АКТ</w:t>
      </w:r>
    </w:p>
    <w:p w14:paraId="18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 21 ноября 2024 г. N 9</w:t>
      </w:r>
    </w:p>
    <w:p w14:paraId="19000000">
      <w:pPr>
        <w:pStyle w:val="Style_2"/>
        <w:ind/>
        <w:jc w:val="both"/>
        <w:rPr>
          <w:rFonts w:ascii="Times New Roman" w:hAnsi="Times New Roman"/>
          <w:color w:val="000000"/>
        </w:rPr>
      </w:pPr>
    </w:p>
    <w:p w14:paraId="1A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 ТУРИСТИЧЕСКОМ НАЛОГЕ НА ТЕРРИТОРИИ</w:t>
      </w:r>
    </w:p>
    <w:p w14:paraId="1B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ГОРОДСКОГО ОКРУГА "ПОСЕЛОК ПАЛАНА"</w:t>
      </w:r>
    </w:p>
    <w:p w14:paraId="1C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1D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1. Общие положения</w:t>
      </w:r>
    </w:p>
    <w:p w14:paraId="1E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1F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"https://login.consultant.ru/link/?req=doc&amp;base=LAW&amp;n=494979&amp;date=04.03.2025&amp;dst=26407&amp;field=134кодексРоссийскойФедерации(частьвторая)от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главой 33.1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 настоящим Решением устанавливается и вводится в действие туристический налог (далее - налог), обязательный к уплате на территории городского округа "поселок Палана".</w:t>
      </w:r>
    </w:p>
    <w:p w14:paraId="20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1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2. Налогоплательщики</w:t>
      </w:r>
    </w:p>
    <w:p w14:paraId="22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3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Налогоплательщиками налога согласно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"https://login.consultant.ru/link/?req=doc&amp;base=LAW&amp;n=494979&amp;date=04.03.2025&amp;dst=26414&amp;field=134кодексРоссийскойФедерации(частьвторая)от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 418.2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НК РФ признаются организации и физические лица, оказывающие услуги, признаваемые объектом налогообложения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418.3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НК РФ.</w:t>
      </w:r>
    </w:p>
    <w:p w14:paraId="24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5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3. Объект налогообложения</w:t>
      </w:r>
    </w:p>
    <w:p w14:paraId="26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7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Объектом налогообложения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418.3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НК РФ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городского округа "поселок Палана" и включенных в реестр классифицированных средств размещения, предусмотренный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"https://login.consultant.ru/link/?req=doc&amp;base=LAW&amp;n=492068&amp;date=04.03.2025ОбосновахтуристскойдеятельностивРоссийскойФедерации------------ Недействующая редакция {КонсультантПлюс}" \o "Федеральный закон от 24.11.1996 N 132-ФЗ (ред. от 30.11.2024)"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24.11.1996 N 132-ФЗ "Об основах туристской деятельности в Российской Федерации".</w:t>
      </w:r>
    </w:p>
    <w:p w14:paraId="28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9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4. Налоговая база</w:t>
      </w:r>
    </w:p>
    <w:p w14:paraId="2A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2B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1.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- услуга по временному проживанию) без учета сумм налога и налога на добавленную стоимость с учетом условий, установленных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"https://login.consultant.ru/link/?req=doc&amp;base=LAW&amp;n=494979&amp;date=04.03.2025&amp;dst=26420&amp;field=134кодексРоссийскойФедерации(частьвторая)от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частью 2 статьи 418.4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Федерации.</w:t>
      </w:r>
    </w:p>
    <w:p w14:paraId="2C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2. Установлены следующие дополнительные категории физических лиц, стоимость услуг по временному проживанию которых, не включаются в налоговую базу, при условии предоставления налогоплательщику документов, подтверждающих соответствующий статус физического лица:</w:t>
      </w:r>
    </w:p>
    <w:p w14:paraId="2D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- лица зарегистрированные по месту жительства в Камчатском крае;</w:t>
      </w:r>
    </w:p>
    <w:p w14:paraId="2E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- члены многодетных семей;</w:t>
      </w:r>
    </w:p>
    <w:p w14:paraId="2F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- лица, имеющие право на получение социальной поддержки в соответствии с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470690&amp;date=04.03.2025Осоциальнойзащитеграждан,подвергшихсявоздействиюрадиациивследствиекатастрофынаЧернобыльскойАЭС{КонсультантПлюс}" \o "Закон РФ от 15.05.1991 N 1244-1 (ред. от 25.12.2023)"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466512&amp;date=04.03.2025ОсоциальнойзащитегражданРоссийскойФедерации,подвергшихсявоздействиюрадиациивследствиеавариив1957годунапроизводственномобъединенииМаякисбросоврадиоактивныхотходовврекуТеча(с изм. и доп., вступ. в силу с 01.07.2024) {КонсультантПлюс}" \o "Федеральный закон от 26.11.1998 N 175-ФЗ (ред. от 10.07.2023)"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466514&amp;date=04.03.2025Осоциальныхгарантияхгражданам,подвергшимсярадиационномувоздействиювследствиеядерныхиспытанийнаСемипалатинскомполигоне(с изм. и доп., вступ. в силу с 01.07.2024) {КонсультантПлюс}" \o "Федеральный закон от 10.01.2002 N 2-ФЗ (ред. от 10.07.2023)"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14:paraId="30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- граждане, удостоенные звания "Почетный гражданин городского округа "поселок Палана";</w:t>
      </w:r>
    </w:p>
    <w:p w14:paraId="31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- членам семей участников специальной военной операции, указанных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"https://login.consultant.ru/link/?req=doc&amp;base=LAW&amp;n=494979&amp;date=04.03.2025&amp;dst=26864&amp;field=134кодексРоссийскойФедерации(частьвторая)от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пункте 6.1 статьи 210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Федерации, погибших умерших) вследствие увечья (ранения, травмы, контузии) или заболевания, полученные ими в ходе участия в специальной военной операции.</w:t>
      </w:r>
    </w:p>
    <w:p w14:paraId="32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3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5. Налоговая ставка</w:t>
      </w:r>
    </w:p>
    <w:p w14:paraId="34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5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Налоговая ставка устанавливается в размере 1% процента от налоговой базы.</w:t>
      </w:r>
    </w:p>
    <w:p w14:paraId="36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7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6. Налоговый период</w:t>
      </w:r>
    </w:p>
    <w:p w14:paraId="38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9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Налоговым периодом признается квартал.</w:t>
      </w:r>
    </w:p>
    <w:p w14:paraId="3A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B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7. Заключительные положения</w:t>
      </w:r>
    </w:p>
    <w:p w14:paraId="3C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D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Настоящее Решение вступает в силу с 01.01.2025, но не ранее чем по истечении 1 месяца со дня его официального обнародования.</w:t>
      </w:r>
    </w:p>
    <w:p w14:paraId="3E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3F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Глава</w:t>
      </w:r>
    </w:p>
    <w:p w14:paraId="40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городского округа "поселок Палана"</w:t>
      </w:r>
    </w:p>
    <w:p w14:paraId="41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И.О.ЩЕРБАКОВ</w:t>
      </w:r>
    </w:p>
    <w:p w14:paraId="42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43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</w:p>
    <w:p w14:paraId="44000000">
      <w:pPr>
        <w:pStyle w:val="Style_1"/>
        <w:spacing w:after="100" w:before="100"/>
        <w:ind/>
        <w:jc w:val="both"/>
        <w:rPr>
          <w:rFonts w:ascii="Times New Roman" w:hAnsi="Times New Roman"/>
          <w:color w:val="000000"/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Нормативный правовой акт Совета депутатов городского округа "поселок Палана" Камчатского края от 21.11.2024 N 9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турис...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Нормативный правовой акт Совета депутатов городского округа "поселок Палана" Камчатского края от 21.11.2024 N 9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турис...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Endnote"/>
    <w:link w:val="Style_3_ch"/>
    <w:pPr>
      <w:ind w:firstLine="851" w:left="0"/>
      <w:jc w:val="both"/>
    </w:pPr>
    <w:rPr>
      <w:rFonts w:ascii="XO Thames" w:hAnsi="XO Thames"/>
      <w:sz w:val="22"/>
    </w:rPr>
  </w:style>
  <w:style w:styleId="Style_3_ch" w:type="character">
    <w:name w:val="Endnote"/>
    <w:link w:val="Style_3"/>
    <w:rPr>
      <w:rFonts w:ascii="XO Thames" w:hAnsi="XO Thames"/>
      <w:sz w:val="22"/>
    </w:rPr>
  </w:style>
  <w:style w:styleId="Style_4" w:type="paragraph">
    <w:name w:val="ConsPlusTitlePage"/>
    <w:link w:val="Style_4_ch"/>
    <w:pPr>
      <w:widowControl w:val="0"/>
      <w:ind/>
    </w:pPr>
    <w:rPr>
      <w:rFonts w:ascii="Tahoma" w:hAnsi="Tahoma"/>
      <w:sz w:val="20"/>
    </w:rPr>
  </w:style>
  <w:style w:styleId="Style_4_ch" w:type="character">
    <w:name w:val="ConsPlusTitlePage"/>
    <w:link w:val="Style_4"/>
    <w:rPr>
      <w:rFonts w:ascii="Tahoma" w:hAnsi="Tahoma"/>
      <w:sz w:val="20"/>
    </w:rPr>
  </w:style>
  <w:style w:styleId="Style_5" w:type="paragraph">
    <w:name w:val="toc 2"/>
    <w:next w:val="Style_6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7" w:type="paragraph">
    <w:name w:val="toc 4"/>
    <w:next w:val="Style_6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6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6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DocList"/>
    <w:link w:val="Style_10_ch"/>
    <w:pPr>
      <w:widowControl w:val="0"/>
      <w:ind/>
    </w:pPr>
    <w:rPr>
      <w:rFonts w:ascii="Tahoma" w:hAnsi="Tahoma"/>
      <w:sz w:val="18"/>
    </w:rPr>
  </w:style>
  <w:style w:styleId="Style_10_ch" w:type="character">
    <w:name w:val="ConsPlusDocList"/>
    <w:link w:val="Style_10"/>
    <w:rPr>
      <w:rFonts w:ascii="Tahoma" w:hAnsi="Tahoma"/>
      <w:sz w:val="18"/>
    </w:rPr>
  </w:style>
  <w:style w:styleId="Style_6" w:type="paragraph">
    <w:name w:val="Normal"/>
    <w:link w:val="Style_6_ch"/>
    <w:uiPriority w:val="0"/>
    <w:qFormat/>
  </w:style>
  <w:style w:styleId="Style_6_ch" w:type="character">
    <w:name w:val="Normal"/>
    <w:link w:val="Style_6"/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TitlePage"/>
    <w:link w:val="Style_12_ch"/>
    <w:pPr>
      <w:widowControl w:val="0"/>
      <w:ind/>
    </w:pPr>
    <w:rPr>
      <w:rFonts w:ascii="Tahoma" w:hAnsi="Tahoma"/>
      <w:sz w:val="20"/>
    </w:rPr>
  </w:style>
  <w:style w:styleId="Style_12_ch" w:type="character">
    <w:name w:val="ConsPlusTitlePage"/>
    <w:link w:val="Style_12"/>
    <w:rPr>
      <w:rFonts w:ascii="Tahoma" w:hAnsi="Tahoma"/>
      <w:sz w:val="20"/>
    </w:rPr>
  </w:style>
  <w:style w:styleId="Style_13" w:type="paragraph">
    <w:name w:val="ConsPlusTextList"/>
    <w:link w:val="Style_13_ch"/>
    <w:pPr>
      <w:widowControl w:val="0"/>
      <w:ind/>
    </w:pPr>
    <w:rPr>
      <w:rFonts w:ascii="Times New Roman" w:hAnsi="Times New Roman"/>
      <w:sz w:val="24"/>
    </w:rPr>
  </w:style>
  <w:style w:styleId="Style_13_ch" w:type="character">
    <w:name w:val="ConsPlusTextList"/>
    <w:link w:val="Style_13"/>
    <w:rPr>
      <w:rFonts w:ascii="Times New Roman" w:hAnsi="Times New Roman"/>
      <w:sz w:val="24"/>
    </w:rPr>
  </w:style>
  <w:style w:styleId="Style_14" w:type="paragraph">
    <w:name w:val="ConsPlusCell"/>
    <w:link w:val="Style_14_ch"/>
    <w:pPr>
      <w:widowControl w:val="0"/>
      <w:ind/>
    </w:pPr>
    <w:rPr>
      <w:rFonts w:ascii="Courier New" w:hAnsi="Courier New"/>
      <w:sz w:val="20"/>
    </w:rPr>
  </w:style>
  <w:style w:styleId="Style_14_ch" w:type="character">
    <w:name w:val="ConsPlusCell"/>
    <w:link w:val="Style_14"/>
    <w:rPr>
      <w:rFonts w:ascii="Courier New" w:hAnsi="Courier New"/>
      <w:sz w:val="20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  <w:sz w:val="20"/>
    </w:rPr>
  </w:style>
  <w:style w:styleId="Style_16_ch" w:type="character">
    <w:name w:val="ConsPlusNonformat"/>
    <w:link w:val="Style_16"/>
    <w:rPr>
      <w:rFonts w:ascii="Courier New" w:hAnsi="Courier New"/>
      <w:sz w:val="20"/>
    </w:rPr>
  </w:style>
  <w:style w:styleId="Style_17" w:type="paragraph">
    <w:name w:val="ConsPlusJurTerm"/>
    <w:link w:val="Style_17_ch"/>
    <w:pPr>
      <w:widowControl w:val="0"/>
      <w:ind/>
    </w:pPr>
    <w:rPr>
      <w:rFonts w:ascii="Tahoma" w:hAnsi="Tahoma"/>
      <w:sz w:val="26"/>
    </w:rPr>
  </w:style>
  <w:style w:styleId="Style_17_ch" w:type="character">
    <w:name w:val="ConsPlusJurTerm"/>
    <w:link w:val="Style_17"/>
    <w:rPr>
      <w:rFonts w:ascii="Tahoma" w:hAnsi="Tahoma"/>
      <w:sz w:val="26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onsPlusTextList"/>
    <w:link w:val="Style_19_ch"/>
    <w:pPr>
      <w:widowControl w:val="0"/>
      <w:ind/>
    </w:pPr>
    <w:rPr>
      <w:rFonts w:ascii="Times New Roman" w:hAnsi="Times New Roman"/>
      <w:sz w:val="24"/>
    </w:rPr>
  </w:style>
  <w:style w:styleId="Style_19_ch" w:type="character">
    <w:name w:val="ConsPlusTextList"/>
    <w:link w:val="Style_19"/>
    <w:rPr>
      <w:rFonts w:ascii="Times New Roman" w:hAnsi="Times New Roman"/>
      <w:sz w:val="24"/>
    </w:rPr>
  </w:style>
  <w:style w:styleId="Style_20" w:type="paragraph">
    <w:name w:val="ConsPlusJurTerm"/>
    <w:link w:val="Style_20_ch"/>
    <w:pPr>
      <w:widowControl w:val="0"/>
      <w:ind/>
    </w:pPr>
    <w:rPr>
      <w:rFonts w:ascii="Tahoma" w:hAnsi="Tahoma"/>
      <w:sz w:val="26"/>
    </w:rPr>
  </w:style>
  <w:style w:styleId="Style_20_ch" w:type="character">
    <w:name w:val="ConsPlusJurTerm"/>
    <w:link w:val="Style_20"/>
    <w:rPr>
      <w:rFonts w:ascii="Tahoma" w:hAnsi="Tahoma"/>
      <w:sz w:val="26"/>
    </w:rPr>
  </w:style>
  <w:style w:styleId="Style_21" w:type="paragraph">
    <w:name w:val="ConsPlusTextList"/>
    <w:link w:val="Style_21_ch"/>
    <w:pPr>
      <w:widowControl w:val="0"/>
      <w:ind/>
    </w:pPr>
    <w:rPr>
      <w:rFonts w:ascii="Times New Roman" w:hAnsi="Times New Roman"/>
      <w:sz w:val="24"/>
    </w:rPr>
  </w:style>
  <w:style w:styleId="Style_21_ch" w:type="character">
    <w:name w:val="ConsPlusTextList"/>
    <w:link w:val="Style_21"/>
    <w:rPr>
      <w:rFonts w:ascii="Times New Roman" w:hAnsi="Times New Roman"/>
      <w:sz w:val="24"/>
    </w:rPr>
  </w:style>
  <w:style w:styleId="Style_22" w:type="paragraph">
    <w:name w:val="heading 1"/>
    <w:next w:val="Style_6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6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  <w:sz w:val="20"/>
    </w:rPr>
  </w:style>
  <w:style w:styleId="Style_28_ch" w:type="character">
    <w:name w:val="ConsPlusNonformat"/>
    <w:link w:val="Style_28"/>
    <w:rPr>
      <w:rFonts w:ascii="Courier New" w:hAnsi="Courier New"/>
      <w:sz w:val="20"/>
    </w:rPr>
  </w:style>
  <w:style w:styleId="Style_29" w:type="paragraph">
    <w:name w:val="toc 8"/>
    <w:next w:val="Style_6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Title"/>
    <w:link w:val="Style_30_ch"/>
    <w:pPr>
      <w:widowControl w:val="0"/>
      <w:ind/>
    </w:pPr>
    <w:rPr>
      <w:rFonts w:ascii="Arial" w:hAnsi="Arial"/>
      <w:b w:val="1"/>
      <w:sz w:val="24"/>
    </w:rPr>
  </w:style>
  <w:style w:styleId="Style_30_ch" w:type="character">
    <w:name w:val="ConsPlusTitle"/>
    <w:link w:val="Style_30"/>
    <w:rPr>
      <w:rFonts w:ascii="Arial" w:hAnsi="Arial"/>
      <w:b w:val="1"/>
      <w:sz w:val="24"/>
    </w:rPr>
  </w:style>
  <w:style w:styleId="Style_31" w:type="paragraph">
    <w:name w:val="ConsPlusTextList"/>
    <w:link w:val="Style_31_ch"/>
    <w:pPr>
      <w:widowControl w:val="0"/>
      <w:ind/>
    </w:pPr>
    <w:rPr>
      <w:rFonts w:ascii="Times New Roman" w:hAnsi="Times New Roman"/>
      <w:sz w:val="24"/>
    </w:rPr>
  </w:style>
  <w:style w:styleId="Style_31_ch" w:type="character">
    <w:name w:val="ConsPlusTextList"/>
    <w:link w:val="Style_31"/>
    <w:rPr>
      <w:rFonts w:ascii="Times New Roman" w:hAnsi="Times New Roman"/>
      <w:sz w:val="24"/>
    </w:rPr>
  </w:style>
  <w:style w:styleId="Style_32" w:type="paragraph">
    <w:name w:val="toc 5"/>
    <w:next w:val="Style_6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6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34" w:type="paragraph">
    <w:name w:val="ConsPlusDocList"/>
    <w:link w:val="Style_34_ch"/>
    <w:pPr>
      <w:widowControl w:val="0"/>
      <w:ind/>
    </w:pPr>
    <w:rPr>
      <w:rFonts w:ascii="Tahoma" w:hAnsi="Tahoma"/>
      <w:sz w:val="18"/>
    </w:rPr>
  </w:style>
  <w:style w:styleId="Style_34_ch" w:type="character">
    <w:name w:val="ConsPlusDocList"/>
    <w:link w:val="Style_34"/>
    <w:rPr>
      <w:rFonts w:ascii="Tahoma" w:hAnsi="Tahoma"/>
      <w:sz w:val="18"/>
    </w:rPr>
  </w:style>
  <w:style w:styleId="Style_35" w:type="paragraph">
    <w:name w:val="Title"/>
    <w:next w:val="Style_6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6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ConsPlusCell"/>
    <w:link w:val="Style_37_ch"/>
    <w:pPr>
      <w:widowControl w:val="0"/>
      <w:ind/>
    </w:pPr>
    <w:rPr>
      <w:rFonts w:ascii="Courier New" w:hAnsi="Courier New"/>
      <w:sz w:val="20"/>
    </w:rPr>
  </w:style>
  <w:style w:styleId="Style_37_ch" w:type="character">
    <w:name w:val="ConsPlusCell"/>
    <w:link w:val="Style_37"/>
    <w:rPr>
      <w:rFonts w:ascii="Courier New" w:hAnsi="Courier New"/>
      <w:sz w:val="20"/>
    </w:rPr>
  </w:style>
  <w:style w:styleId="Style_38" w:type="paragraph">
    <w:name w:val="heading 2"/>
    <w:next w:val="Style_6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2025-03-13T06:40:30Z</dcterms:modified>
</cp:coreProperties>
</file>