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sz w:val="24"/>
        </w:rPr>
        <w:t>Камчатский край</w:t>
      </w:r>
    </w:p>
    <w:p w14:paraId="02000000">
      <w:pPr>
        <w:pStyle w:val="Style_1"/>
        <w:spacing w:after="0" w:before="0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Елизовский муниципальный район</w:t>
      </w:r>
    </w:p>
    <w:p w14:paraId="03000000">
      <w:pPr>
        <w:pStyle w:val="Style_2"/>
        <w:widowControl w:val="1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СОБРАНИЕ ДЕПУТАТОВ ВУЛКАННОГО ГОРОДСКОГО ПОСЕЛЕНИЯ</w:t>
      </w:r>
    </w:p>
    <w:p w14:paraId="04000000">
      <w:pPr>
        <w:pStyle w:val="Style_2"/>
        <w:widowControl w:val="1"/>
        <w:ind/>
        <w:jc w:val="center"/>
        <w:outlineLv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Муниципальный правовой акт</w:t>
      </w:r>
    </w:p>
    <w:p w14:paraId="05000000">
      <w:pPr>
        <w:pStyle w:val="Style_2"/>
        <w:widowControl w:val="1"/>
        <w:ind/>
        <w:jc w:val="center"/>
        <w:outlineLvl w:val="0"/>
        <w:rPr>
          <w:rFonts w:ascii="Times New Roman" w:hAnsi="Times New Roman"/>
          <w:b w:val="0"/>
          <w:sz w:val="24"/>
        </w:rPr>
      </w:pPr>
    </w:p>
    <w:p w14:paraId="06000000">
      <w:pPr>
        <w:rPr>
          <w:b w:val="1"/>
          <w:sz w:val="24"/>
        </w:rPr>
      </w:pPr>
      <w:r>
        <w:rPr>
          <w:b w:val="1"/>
          <w:sz w:val="24"/>
        </w:rPr>
        <w:t xml:space="preserve">  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>29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ноября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20</w:t>
      </w:r>
      <w:r>
        <w:rPr>
          <w:b w:val="1"/>
          <w:sz w:val="24"/>
        </w:rPr>
        <w:t>24</w:t>
      </w:r>
      <w:r>
        <w:rPr>
          <w:b w:val="1"/>
          <w:sz w:val="24"/>
        </w:rPr>
        <w:t xml:space="preserve"> года  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</w:t>
      </w:r>
      <w:r>
        <w:rPr>
          <w:b w:val="1"/>
          <w:sz w:val="24"/>
        </w:rPr>
        <w:t xml:space="preserve">             </w:t>
      </w:r>
      <w:r>
        <w:rPr>
          <w:b w:val="1"/>
          <w:sz w:val="24"/>
        </w:rPr>
        <w:t xml:space="preserve">            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>№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665</w:t>
      </w:r>
      <w:r>
        <w:rPr>
          <w:b w:val="1"/>
          <w:sz w:val="24"/>
        </w:rPr>
        <w:t>-нд</w:t>
      </w:r>
    </w:p>
    <w:p w14:paraId="07000000">
      <w:pPr>
        <w:pStyle w:val="Style_3"/>
        <w:rPr>
          <w:b w:val="1"/>
          <w:sz w:val="24"/>
        </w:rPr>
      </w:pPr>
    </w:p>
    <w:p w14:paraId="08000000">
      <w:pPr>
        <w:pStyle w:val="Style_3"/>
        <w:ind w:firstLine="720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О </w:t>
      </w:r>
      <w:r>
        <w:rPr>
          <w:b w:val="1"/>
          <w:sz w:val="24"/>
        </w:rPr>
        <w:t xml:space="preserve">туристическом налоге на территории </w:t>
      </w:r>
    </w:p>
    <w:p w14:paraId="09000000">
      <w:pPr>
        <w:pStyle w:val="Style_3"/>
        <w:ind w:firstLine="720" w:left="0"/>
        <w:jc w:val="center"/>
        <w:rPr>
          <w:b w:val="1"/>
          <w:sz w:val="24"/>
        </w:rPr>
      </w:pPr>
      <w:r>
        <w:rPr>
          <w:b w:val="1"/>
          <w:sz w:val="24"/>
        </w:rPr>
        <w:t>Вулканного городского поселения</w:t>
      </w:r>
    </w:p>
    <w:p w14:paraId="0A000000">
      <w:pPr>
        <w:pStyle w:val="Style_4"/>
        <w:widowControl w:val="1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               </w:t>
      </w:r>
    </w:p>
    <w:p w14:paraId="0B000000">
      <w:pPr>
        <w:pStyle w:val="Style_4"/>
        <w:widowControl w:val="1"/>
        <w:ind w:firstLine="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Принят</w:t>
      </w:r>
      <w:r>
        <w:rPr>
          <w:rFonts w:ascii="Times New Roman" w:hAnsi="Times New Roman"/>
          <w:sz w:val="22"/>
        </w:rPr>
        <w:t xml:space="preserve"> Решением Собрания депутатов Вулканного городского поселения </w:t>
      </w:r>
    </w:p>
    <w:p w14:paraId="0C000000">
      <w:pPr>
        <w:pStyle w:val="Style_4"/>
        <w:widowControl w:val="1"/>
        <w:ind w:firstLine="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>
        <w:rPr>
          <w:rFonts w:ascii="Times New Roman" w:hAnsi="Times New Roman"/>
          <w:sz w:val="22"/>
        </w:rPr>
        <w:t xml:space="preserve">29 </w:t>
      </w:r>
      <w:r>
        <w:rPr>
          <w:rFonts w:ascii="Times New Roman" w:hAnsi="Times New Roman"/>
          <w:sz w:val="22"/>
        </w:rPr>
        <w:t>ноября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>24</w:t>
      </w:r>
      <w:r>
        <w:rPr>
          <w:rFonts w:ascii="Times New Roman" w:hAnsi="Times New Roman"/>
          <w:sz w:val="22"/>
        </w:rPr>
        <w:t xml:space="preserve"> года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225</w:t>
      </w:r>
    </w:p>
    <w:p w14:paraId="0D000000">
      <w:pPr>
        <w:pStyle w:val="Style_3"/>
        <w:rPr>
          <w:sz w:val="24"/>
        </w:rPr>
      </w:pPr>
    </w:p>
    <w:p w14:paraId="0E000000">
      <w:pPr>
        <w:widowControl w:val="0"/>
        <w:ind/>
        <w:outlineLvl w:val="1"/>
        <w:rPr>
          <w:b w:val="1"/>
          <w:sz w:val="24"/>
        </w:rPr>
      </w:pPr>
    </w:p>
    <w:p w14:paraId="0F000000">
      <w:pPr>
        <w:widowControl w:val="0"/>
        <w:ind/>
        <w:outlineLvl w:val="1"/>
        <w:rPr>
          <w:b w:val="1"/>
          <w:sz w:val="24"/>
        </w:rPr>
      </w:pPr>
      <w:r>
        <w:rPr>
          <w:b w:val="1"/>
          <w:sz w:val="24"/>
        </w:rPr>
        <w:t>Статья 1. Общие положения</w:t>
      </w:r>
    </w:p>
    <w:p w14:paraId="10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 xml:space="preserve">Туристический налог (далее – налог) на территории </w:t>
      </w:r>
      <w:r>
        <w:rPr>
          <w:sz w:val="24"/>
        </w:rPr>
        <w:t>Вулканного городского поселения</w:t>
      </w:r>
      <w:r>
        <w:rPr>
          <w:sz w:val="24"/>
        </w:rPr>
        <w:t xml:space="preserve"> устанавливается в соответствии с пунктом 83 статьи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и Налоговым кодексом Российской Федерации</w:t>
      </w:r>
      <w:r>
        <w:rPr>
          <w:sz w:val="24"/>
        </w:rPr>
        <w:t xml:space="preserve"> и обязателен к уплате на </w:t>
      </w:r>
      <w:r>
        <w:rPr>
          <w:sz w:val="24"/>
        </w:rPr>
        <w:t xml:space="preserve">территории </w:t>
      </w:r>
      <w:r>
        <w:rPr>
          <w:sz w:val="24"/>
        </w:rPr>
        <w:t>Вулканного городского поселения</w:t>
      </w:r>
      <w:r>
        <w:rPr>
          <w:sz w:val="24"/>
        </w:rPr>
        <w:t>.</w:t>
      </w:r>
    </w:p>
    <w:p w14:paraId="11000000">
      <w:pPr>
        <w:widowControl w:val="0"/>
        <w:ind/>
        <w:jc w:val="both"/>
        <w:rPr>
          <w:sz w:val="24"/>
        </w:rPr>
      </w:pPr>
    </w:p>
    <w:p w14:paraId="12000000">
      <w:pPr>
        <w:widowControl w:val="0"/>
        <w:ind/>
        <w:jc w:val="both"/>
        <w:outlineLvl w:val="1"/>
        <w:rPr>
          <w:b w:val="1"/>
          <w:sz w:val="24"/>
        </w:rPr>
      </w:pPr>
      <w:r>
        <w:rPr>
          <w:b w:val="1"/>
          <w:sz w:val="24"/>
        </w:rPr>
        <w:t>Статья 2. Налоговая база</w:t>
      </w:r>
    </w:p>
    <w:p w14:paraId="13000000">
      <w:pPr>
        <w:ind w:firstLine="708" w:left="0"/>
        <w:jc w:val="both"/>
        <w:rPr>
          <w:sz w:val="24"/>
        </w:rPr>
      </w:pPr>
      <w:r>
        <w:rPr>
          <w:sz w:val="24"/>
        </w:rPr>
        <w:t>1.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 настоящей статье – услуга по временному проживанию) без учета сумм налога и налога на добавленную стоимость.</w:t>
      </w:r>
    </w:p>
    <w:p w14:paraId="14000000">
      <w:pPr>
        <w:ind w:firstLine="708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 xml:space="preserve">. </w:t>
      </w:r>
      <w:r>
        <w:rPr>
          <w:sz w:val="24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физическим лицам, указанным в части 2 статьи 418.4 Налогового кодекса, а также следующим категориям граждан:</w:t>
      </w:r>
    </w:p>
    <w:p w14:paraId="15000000">
      <w:pPr>
        <w:ind/>
        <w:jc w:val="both"/>
        <w:rPr>
          <w:sz w:val="24"/>
        </w:rPr>
      </w:pPr>
      <w:r>
        <w:rPr>
          <w:sz w:val="24"/>
        </w:rPr>
        <w:t>1) гражданам, зарегистрированным по месту жительства в Камчатском крае;</w:t>
      </w:r>
    </w:p>
    <w:p w14:paraId="16000000">
      <w:pPr>
        <w:ind/>
        <w:jc w:val="both"/>
        <w:rPr>
          <w:sz w:val="24"/>
        </w:rPr>
      </w:pPr>
      <w:r>
        <w:rPr>
          <w:sz w:val="24"/>
        </w:rPr>
        <w:t xml:space="preserve">2) Почетным гражданам </w:t>
      </w:r>
      <w:r>
        <w:rPr>
          <w:sz w:val="24"/>
        </w:rPr>
        <w:t>Вулканного городского поселения</w:t>
      </w:r>
      <w:r>
        <w:rPr>
          <w:sz w:val="24"/>
        </w:rPr>
        <w:t>;</w:t>
      </w:r>
    </w:p>
    <w:p w14:paraId="17000000">
      <w:pPr>
        <w:ind/>
        <w:jc w:val="both"/>
        <w:rPr>
          <w:sz w:val="24"/>
        </w:rPr>
      </w:pPr>
      <w:r>
        <w:rPr>
          <w:sz w:val="24"/>
        </w:rPr>
        <w:t>3) членам семей погибших (умерших) участников боевых действий;</w:t>
      </w:r>
    </w:p>
    <w:p w14:paraId="18000000">
      <w:pPr>
        <w:ind/>
        <w:jc w:val="both"/>
        <w:rPr>
          <w:sz w:val="24"/>
        </w:rPr>
      </w:pPr>
      <w:r>
        <w:rPr>
          <w:sz w:val="24"/>
        </w:rPr>
        <w:t>4) лицам, подвергшимся воздействию радиации вследствие катастрофы на Чернобыльской АЭС.</w:t>
      </w:r>
    </w:p>
    <w:p w14:paraId="19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Статус физического лица, указанного в подпункте 1 пункта 2 настоящей статьи, подтверждается паспортом гражданина Российской Федерации, удостоверяющим личность гражданина Российской Федерации на территории Российской Федерации, с отметкой о регистрации по месту жительства в Камчатском крае. </w:t>
      </w:r>
    </w:p>
    <w:p w14:paraId="1A000000">
      <w:pPr>
        <w:widowControl w:val="0"/>
        <w:ind w:firstLine="708" w:left="0"/>
        <w:jc w:val="both"/>
        <w:outlineLvl w:val="1"/>
        <w:rPr>
          <w:sz w:val="24"/>
        </w:rPr>
      </w:pPr>
      <w:r>
        <w:rPr>
          <w:sz w:val="24"/>
        </w:rPr>
        <w:t>Статус физического лица, указанного в подпунктах 2-4 пункта 2 настоящей статьи, подтверждается соответствующим удостоверением установленного законодательством Российской Федерации образца.</w:t>
      </w:r>
    </w:p>
    <w:p w14:paraId="1B000000">
      <w:pPr>
        <w:widowControl w:val="0"/>
        <w:ind/>
        <w:jc w:val="both"/>
        <w:outlineLvl w:val="1"/>
        <w:rPr>
          <w:b w:val="1"/>
          <w:sz w:val="24"/>
        </w:rPr>
      </w:pPr>
    </w:p>
    <w:p w14:paraId="1C000000">
      <w:pPr>
        <w:widowControl w:val="0"/>
        <w:ind/>
        <w:jc w:val="both"/>
        <w:outlineLvl w:val="1"/>
        <w:rPr>
          <w:b w:val="1"/>
          <w:sz w:val="24"/>
        </w:rPr>
      </w:pPr>
      <w:r>
        <w:rPr>
          <w:b w:val="1"/>
          <w:sz w:val="24"/>
        </w:rPr>
        <w:t>Статья 3. Налоговая ставка</w:t>
      </w:r>
    </w:p>
    <w:p w14:paraId="1D000000">
      <w:pPr>
        <w:widowControl w:val="0"/>
        <w:ind/>
        <w:jc w:val="both"/>
        <w:rPr>
          <w:sz w:val="24"/>
        </w:rPr>
      </w:pPr>
      <w:r>
        <w:rPr>
          <w:sz w:val="24"/>
        </w:rPr>
        <w:t>Налоговая ставка устанавливается в размере:</w:t>
      </w:r>
    </w:p>
    <w:p w14:paraId="1E000000">
      <w:pPr>
        <w:widowControl w:val="0"/>
        <w:ind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>) 1 процент от налоговой базы в 2025 году;</w:t>
      </w:r>
    </w:p>
    <w:p w14:paraId="1F000000">
      <w:pPr>
        <w:widowControl w:val="0"/>
        <w:ind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) 2 процента от налоговой базы в 2026 году;</w:t>
      </w:r>
    </w:p>
    <w:p w14:paraId="20000000">
      <w:pPr>
        <w:widowControl w:val="0"/>
        <w:ind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) 3 процента от налоговой базы в 2027 году;</w:t>
      </w:r>
    </w:p>
    <w:p w14:paraId="21000000">
      <w:pPr>
        <w:widowControl w:val="0"/>
        <w:ind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) 4 процента от налоговой базы в 2028 году;</w:t>
      </w:r>
    </w:p>
    <w:p w14:paraId="22000000">
      <w:pPr>
        <w:widowControl w:val="0"/>
        <w:ind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) 5 процентов от налоговой базы, начиная с 2029 года.</w:t>
      </w:r>
    </w:p>
    <w:p w14:paraId="23000000">
      <w:pPr>
        <w:widowControl w:val="0"/>
        <w:ind/>
        <w:jc w:val="both"/>
        <w:rPr>
          <w:sz w:val="24"/>
        </w:rPr>
      </w:pPr>
    </w:p>
    <w:p w14:paraId="24000000">
      <w:pPr>
        <w:widowControl w:val="0"/>
        <w:ind/>
        <w:jc w:val="both"/>
        <w:outlineLvl w:val="1"/>
        <w:rPr>
          <w:b w:val="1"/>
          <w:sz w:val="24"/>
        </w:rPr>
      </w:pPr>
      <w:bookmarkStart w:id="1" w:name="P86"/>
      <w:bookmarkEnd w:id="1"/>
      <w:r>
        <w:rPr>
          <w:b w:val="1"/>
          <w:sz w:val="24"/>
        </w:rPr>
        <w:t xml:space="preserve">Статья 4. Порядок и сроки уплаты туристического налога </w:t>
      </w:r>
    </w:p>
    <w:p w14:paraId="25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>1.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14:paraId="26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>2. В случае если исчисленная в соответствии с частью 1 настоящей статьи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27000000">
      <w:pPr>
        <w:widowControl w:val="0"/>
        <w:ind w:firstLine="708" w:left="0"/>
        <w:jc w:val="both"/>
        <w:rPr>
          <w:sz w:val="24"/>
        </w:rPr>
      </w:pPr>
      <w:r>
        <w:rPr>
          <w:sz w:val="24"/>
        </w:rPr>
        <w:t>3. Налоговым периодом по налогу является квартал.</w:t>
      </w:r>
    </w:p>
    <w:p w14:paraId="28000000">
      <w:pPr>
        <w:widowControl w:val="0"/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4. Порядок и сроки уплаты налога и авансовых платежей по налогу установить в соответствии со статьей 418.8 Налогового Кодекса Российской Федерации.</w:t>
      </w:r>
    </w:p>
    <w:p w14:paraId="29000000">
      <w:pPr>
        <w:widowControl w:val="0"/>
        <w:ind/>
        <w:jc w:val="both"/>
        <w:rPr>
          <w:sz w:val="24"/>
        </w:rPr>
      </w:pPr>
    </w:p>
    <w:p w14:paraId="2A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Статья 5. Заключительные положения</w:t>
      </w:r>
    </w:p>
    <w:p w14:paraId="2B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Настоящий</w:t>
      </w:r>
      <w:r>
        <w:rPr>
          <w:sz w:val="24"/>
        </w:rPr>
        <w:t xml:space="preserve"> </w:t>
      </w:r>
      <w:r>
        <w:rPr>
          <w:sz w:val="24"/>
        </w:rPr>
        <w:t>муниципальный правовой акт</w:t>
      </w:r>
      <w:r>
        <w:rPr>
          <w:sz w:val="24"/>
        </w:rPr>
        <w:t xml:space="preserve"> вступает в силу </w:t>
      </w:r>
      <w:r>
        <w:rPr>
          <w:sz w:val="24"/>
        </w:rPr>
        <w:t>с 1 января 202</w:t>
      </w:r>
      <w:r>
        <w:rPr>
          <w:sz w:val="24"/>
        </w:rPr>
        <w:t>5</w:t>
      </w:r>
      <w:r>
        <w:rPr>
          <w:sz w:val="24"/>
        </w:rPr>
        <w:t xml:space="preserve"> года</w:t>
      </w:r>
      <w:r>
        <w:rPr>
          <w:sz w:val="24"/>
        </w:rPr>
        <w:t>, но не ранее чем по истечении 1 месяца со дня официального опубликования и не ранее 1-го числа очередного налогового периода.</w:t>
      </w:r>
    </w:p>
    <w:p w14:paraId="2C000000">
      <w:pPr>
        <w:ind/>
        <w:jc w:val="both"/>
        <w:rPr>
          <w:sz w:val="24"/>
        </w:rPr>
      </w:pPr>
    </w:p>
    <w:p w14:paraId="2D000000">
      <w:pPr>
        <w:rPr>
          <w:sz w:val="24"/>
        </w:rPr>
      </w:pPr>
    </w:p>
    <w:p w14:paraId="2E000000">
      <w:pPr>
        <w:rPr>
          <w:sz w:val="24"/>
        </w:rPr>
      </w:pPr>
    </w:p>
    <w:p w14:paraId="2F000000">
      <w:pPr>
        <w:pStyle w:val="Style_5"/>
        <w:widowControl w:val="1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Вулканного гор</w:t>
      </w:r>
      <w:r>
        <w:rPr>
          <w:rFonts w:ascii="Times New Roman" w:hAnsi="Times New Roman"/>
          <w:sz w:val="24"/>
        </w:rPr>
        <w:t>одского поселения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В.В. Смолин</w:t>
      </w:r>
    </w:p>
    <w:p w14:paraId="30000000">
      <w:pPr>
        <w:rPr>
          <w:sz w:val="24"/>
        </w:rPr>
      </w:pPr>
    </w:p>
    <w:sectPr>
      <w:pgSz w:h="16838" w:orient="portrait" w:w="11906"/>
      <w:pgMar w:bottom="1134" w:footer="708" w:gutter="0" w:header="708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Font Style15"/>
    <w:link w:val="Style_9_ch"/>
    <w:rPr>
      <w:rFonts w:ascii="Times New Roman" w:hAnsi="Times New Roman"/>
      <w:sz w:val="26"/>
    </w:rPr>
  </w:style>
  <w:style w:styleId="Style_9_ch" w:type="character">
    <w:name w:val="Font Style15"/>
    <w:link w:val="Style_9"/>
    <w:rPr>
      <w:rFonts w:ascii="Times New Roman" w:hAnsi="Times New Roman"/>
      <w:sz w:val="26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3" w:type="paragraph">
    <w:name w:val="Body Text"/>
    <w:basedOn w:val="Style_6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6_ch"/>
    <w:link w:val="Style_3"/>
    <w:rPr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Nonformat"/>
    <w:link w:val="Style_12_ch"/>
    <w:pPr>
      <w:widowControl w:val="0"/>
      <w:ind w:right="19772"/>
    </w:pPr>
    <w:rPr>
      <w:rFonts w:ascii="Courier New" w:hAnsi="Courier New"/>
    </w:rPr>
  </w:style>
  <w:style w:styleId="Style_12_ch" w:type="character">
    <w:name w:val="ConsNonformat"/>
    <w:link w:val="Style_12"/>
    <w:rPr>
      <w:rFonts w:ascii="Courier New" w:hAnsi="Courier New"/>
    </w:rPr>
  </w:style>
  <w:style w:styleId="Style_13" w:type="paragraph">
    <w:name w:val="Body Text 2"/>
    <w:basedOn w:val="Style_6"/>
    <w:link w:val="Style_13_ch"/>
    <w:pPr>
      <w:spacing w:after="120" w:line="480" w:lineRule="auto"/>
      <w:ind/>
    </w:pPr>
  </w:style>
  <w:style w:styleId="Style_13_ch" w:type="character">
    <w:name w:val="Body Text 2"/>
    <w:basedOn w:val="Style_6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Гипертекстовая ссылка"/>
    <w:basedOn w:val="Style_17"/>
    <w:link w:val="Style_16_ch"/>
    <w:rPr>
      <w:color w:val="106BBE"/>
    </w:rPr>
  </w:style>
  <w:style w:styleId="Style_16_ch" w:type="character">
    <w:name w:val="Гипертекстовая ссылка"/>
    <w:basedOn w:val="Style_17_ch"/>
    <w:link w:val="Style_16"/>
    <w:rPr>
      <w:color w:val="106BBE"/>
    </w:rPr>
  </w:style>
  <w:style w:styleId="Style_18" w:type="paragraph">
    <w:name w:val="Balloon Text"/>
    <w:basedOn w:val="Style_6"/>
    <w:link w:val="Style_18_ch"/>
    <w:rPr>
      <w:rFonts w:ascii="Tahoma" w:hAnsi="Tahoma"/>
      <w:sz w:val="16"/>
    </w:rPr>
  </w:style>
  <w:style w:styleId="Style_18_ch" w:type="character">
    <w:name w:val="Balloon Text"/>
    <w:basedOn w:val="Style_6_ch"/>
    <w:link w:val="Style_18"/>
    <w:rPr>
      <w:rFonts w:ascii="Tahoma" w:hAnsi="Tahoma"/>
      <w:sz w:val="16"/>
    </w:rPr>
  </w:style>
  <w:style w:styleId="Style_19" w:type="paragraph">
    <w:name w:val="annotation text"/>
    <w:basedOn w:val="Style_6"/>
    <w:link w:val="Style_19_ch"/>
    <w:pPr>
      <w:ind/>
      <w:jc w:val="both"/>
    </w:pPr>
    <w:rPr>
      <w:rFonts w:ascii="Courier" w:hAnsi="Courier"/>
      <w:sz w:val="22"/>
    </w:rPr>
  </w:style>
  <w:style w:styleId="Style_19_ch" w:type="character">
    <w:name w:val="annotation text"/>
    <w:basedOn w:val="Style_6_ch"/>
    <w:link w:val="Style_19"/>
    <w:rPr>
      <w:rFonts w:ascii="Courier" w:hAnsi="Courier"/>
      <w:sz w:val="22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1" w:type="paragraph">
    <w:name w:val="heading 5"/>
    <w:basedOn w:val="Style_6"/>
    <w:next w:val="Style_6"/>
    <w:link w:val="Style_21_ch"/>
    <w:uiPriority w:val="9"/>
    <w:qFormat/>
    <w:pPr>
      <w:keepNext w:val="1"/>
      <w:ind/>
      <w:outlineLvl w:val="4"/>
    </w:pPr>
    <w:rPr>
      <w:b w:val="1"/>
      <w:sz w:val="22"/>
    </w:rPr>
  </w:style>
  <w:style w:styleId="Style_21_ch" w:type="character">
    <w:name w:val="heading 5"/>
    <w:basedOn w:val="Style_6_ch"/>
    <w:link w:val="Style_21"/>
    <w:rPr>
      <w:b w:val="1"/>
      <w:sz w:val="22"/>
    </w:rPr>
  </w:style>
  <w:style w:styleId="Style_22" w:type="paragraph">
    <w:name w:val="Style5"/>
    <w:basedOn w:val="Style_6"/>
    <w:link w:val="Style_22_ch"/>
    <w:pPr>
      <w:widowControl w:val="0"/>
      <w:spacing w:line="322" w:lineRule="exact"/>
      <w:ind/>
    </w:pPr>
    <w:rPr>
      <w:sz w:val="24"/>
    </w:rPr>
  </w:style>
  <w:style w:styleId="Style_22_ch" w:type="character">
    <w:name w:val="Style5"/>
    <w:basedOn w:val="Style_6_ch"/>
    <w:link w:val="Style_22"/>
    <w:rPr>
      <w:sz w:val="24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_ch" w:type="character">
    <w:name w:val="heading 1"/>
    <w:basedOn w:val="Style_6_ch"/>
    <w:link w:val="Style_1"/>
    <w:rPr>
      <w:rFonts w:ascii="Arial" w:hAnsi="Arial"/>
      <w:b w:val="1"/>
      <w:sz w:val="32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3" w:type="paragraph">
    <w:name w:val="Hyperlink"/>
    <w:basedOn w:val="Style_17"/>
    <w:link w:val="Style_23_ch"/>
    <w:rPr>
      <w:color w:val="0000FF"/>
      <w:u w:val="single"/>
    </w:rPr>
  </w:style>
  <w:style w:styleId="Style_23_ch" w:type="character">
    <w:name w:val="Hyperlink"/>
    <w:basedOn w:val="Style_17_ch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5" w:type="paragraph">
    <w:name w:val="ConsNormal"/>
    <w:link w:val="Style_5_ch"/>
    <w:pPr>
      <w:widowControl w:val="0"/>
      <w:ind w:firstLine="720" w:left="0" w:right="19772"/>
    </w:pPr>
    <w:rPr>
      <w:rFonts w:ascii="Arial" w:hAnsi="Arial"/>
    </w:rPr>
  </w:style>
  <w:style w:styleId="Style_5_ch" w:type="character">
    <w:name w:val="ConsNormal"/>
    <w:link w:val="Style_5"/>
    <w:rPr>
      <w:rFonts w:ascii="Arial" w:hAnsi="Arial"/>
    </w:rPr>
  </w:style>
  <w:style w:styleId="Style_26" w:type="paragraph">
    <w:name w:val="Emphasis"/>
    <w:basedOn w:val="Style_17"/>
    <w:link w:val="Style_26_ch"/>
    <w:rPr>
      <w:i w:val="1"/>
    </w:rPr>
  </w:style>
  <w:style w:styleId="Style_26_ch" w:type="character">
    <w:name w:val="Emphasis"/>
    <w:basedOn w:val="Style_17_ch"/>
    <w:link w:val="Style_26"/>
    <w:rPr>
      <w:i w:val="1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s_1"/>
    <w:basedOn w:val="Style_6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s_1"/>
    <w:basedOn w:val="Style_6_ch"/>
    <w:link w:val="Style_28"/>
    <w:rPr>
      <w:sz w:val="24"/>
    </w:rPr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Знак Знак"/>
    <w:basedOn w:val="Style_17"/>
    <w:link w:val="Style_31_ch"/>
    <w:rPr>
      <w:rFonts w:ascii="Calibri" w:hAnsi="Calibri"/>
      <w:b w:val="1"/>
      <w:sz w:val="28"/>
    </w:rPr>
  </w:style>
  <w:style w:styleId="Style_31_ch" w:type="character">
    <w:name w:val="Знак Знак"/>
    <w:basedOn w:val="Style_17_ch"/>
    <w:link w:val="Style_31"/>
    <w:rPr>
      <w:rFonts w:ascii="Calibri" w:hAnsi="Calibri"/>
      <w:b w:val="1"/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6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6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basedOn w:val="Style_6"/>
    <w:next w:val="Style_6"/>
    <w:link w:val="Style_3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35_ch" w:type="character">
    <w:name w:val="heading 4"/>
    <w:basedOn w:val="Style_6_ch"/>
    <w:link w:val="Style_35"/>
    <w:rPr>
      <w:rFonts w:ascii="Calibri" w:hAnsi="Calibri"/>
      <w:b w:val="1"/>
      <w:sz w:val="28"/>
    </w:rPr>
  </w:style>
  <w:style w:styleId="Style_36" w:type="paragraph">
    <w:name w:val="heading 2"/>
    <w:next w:val="Style_6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s_22"/>
    <w:basedOn w:val="Style_6"/>
    <w:link w:val="Style_37_ch"/>
    <w:pPr>
      <w:spacing w:afterAutospacing="on" w:beforeAutospacing="on"/>
      <w:ind/>
    </w:pPr>
    <w:rPr>
      <w:sz w:val="24"/>
    </w:rPr>
  </w:style>
  <w:style w:styleId="Style_37_ch" w:type="character">
    <w:name w:val="s_22"/>
    <w:basedOn w:val="Style_6_ch"/>
    <w:link w:val="Style_37"/>
    <w:rPr>
      <w:sz w:val="24"/>
    </w:rPr>
  </w:style>
  <w:style w:styleId="Style_38" w:type="table">
    <w:name w:val="Table Grid"/>
    <w:basedOn w:val="Style_3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2025-03-04T05:34:39Z</dcterms:modified>
</cp:coreProperties>
</file>