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10716"/>
      </w:tblGrid>
      <w:tr>
        <w:trPr>
          <w:trHeight w:hRule="exact" w:val="3031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13000000">
            <w:pPr>
              <w:pStyle w:val="Style_1"/>
            </w:pPr>
            <w:r>
              <w:drawing>
                <wp:inline>
                  <wp:extent cx="3810000" cy="9048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8335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4000000">
            <w:pPr>
              <w:pStyle w:val="Style_1"/>
              <w:ind/>
              <w:jc w:val="center"/>
            </w:pPr>
            <w:r>
              <w:rPr>
                <w:sz w:val="48"/>
              </w:rPr>
              <w:t>Решение Думы Усть-Большерецкого муниципального района Камчатского края от 20.11.2024 N 239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установлении и введении в действие на межселенных территориях Усть-Большерецкого муниципального района туристического налога"</w:t>
            </w:r>
          </w:p>
        </w:tc>
      </w:tr>
      <w:tr>
        <w:trPr>
          <w:trHeight w:hRule="exact" w:val="3031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5000000">
            <w:pPr>
              <w:pStyle w:val="Style_1"/>
              <w:ind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 \o "Ссылка на КонсультантПлюс"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04.03.2025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16000000">
      <w:pPr>
        <w:sectPr>
          <w:pgSz w:h="16838" w:orient="portrait" w:w="11906"/>
          <w:pgMar w:bottom="841" w:footer="0" w:gutter="0" w:header="0" w:left="595" w:right="595" w:top="841"/>
          <w:titlePg/>
        </w:sectPr>
      </w:pPr>
    </w:p>
    <w:p w14:paraId="17000000">
      <w:pPr>
        <w:pStyle w:val="Style_2"/>
        <w:ind/>
        <w:jc w:val="both"/>
        <w:outlineLvl w:val="0"/>
      </w:pPr>
    </w:p>
    <w:p w14:paraId="18000000">
      <w:pPr>
        <w:pStyle w:val="Style_3"/>
        <w:ind/>
        <w:jc w:val="center"/>
      </w:pPr>
      <w:r>
        <w:rPr>
          <w:sz w:val="24"/>
        </w:rPr>
        <w:t>ДУМА УСТЬ-БОЛЬШЕРЕЦКОГО МУНИЦИПАЛЬНОГО РАЙОНА</w:t>
      </w:r>
    </w:p>
    <w:p w14:paraId="19000000">
      <w:pPr>
        <w:pStyle w:val="Style_3"/>
        <w:ind/>
        <w:jc w:val="center"/>
      </w:pPr>
      <w:r>
        <w:rPr>
          <w:sz w:val="24"/>
        </w:rPr>
        <w:t>КАМЧАТСКОГО КРАЯ</w:t>
      </w:r>
    </w:p>
    <w:p w14:paraId="1A000000">
      <w:pPr>
        <w:pStyle w:val="Style_3"/>
        <w:ind/>
        <w:jc w:val="both"/>
      </w:pPr>
    </w:p>
    <w:p w14:paraId="1B000000">
      <w:pPr>
        <w:pStyle w:val="Style_3"/>
        <w:ind/>
        <w:jc w:val="center"/>
      </w:pPr>
      <w:r>
        <w:rPr>
          <w:sz w:val="24"/>
        </w:rPr>
        <w:t>РЕШЕНИЕ</w:t>
      </w:r>
    </w:p>
    <w:p w14:paraId="1C000000">
      <w:pPr>
        <w:pStyle w:val="Style_3"/>
        <w:ind/>
        <w:jc w:val="center"/>
      </w:pPr>
      <w:r>
        <w:rPr>
          <w:sz w:val="24"/>
        </w:rPr>
        <w:t>от 20 ноября 2024 г. N 239</w:t>
      </w:r>
    </w:p>
    <w:p w14:paraId="1D000000">
      <w:pPr>
        <w:pStyle w:val="Style_3"/>
        <w:ind/>
        <w:jc w:val="both"/>
      </w:pPr>
    </w:p>
    <w:p w14:paraId="1E000000">
      <w:pPr>
        <w:pStyle w:val="Style_3"/>
        <w:ind/>
        <w:jc w:val="center"/>
      </w:pPr>
      <w:r>
        <w:rPr>
          <w:sz w:val="24"/>
        </w:rPr>
        <w:t>ОБ УСТАНОВЛЕНИИ И ВВЕДЕНИИ В ДЕЙСТВИЕ НА МЕЖСЕЛЕННЫХ</w:t>
      </w:r>
    </w:p>
    <w:p w14:paraId="1F000000">
      <w:pPr>
        <w:pStyle w:val="Style_3"/>
        <w:ind/>
        <w:jc w:val="center"/>
      </w:pPr>
      <w:r>
        <w:rPr>
          <w:sz w:val="24"/>
        </w:rPr>
        <w:t>ТЕРРИТОРИЯХ УСТЬ-БОЛЬШЕРЕЦКОГО МУНИЦИПАЛЬНОГО РАЙОНА</w:t>
      </w:r>
    </w:p>
    <w:p w14:paraId="20000000">
      <w:pPr>
        <w:pStyle w:val="Style_3"/>
        <w:ind/>
        <w:jc w:val="center"/>
      </w:pPr>
      <w:r>
        <w:rPr>
          <w:sz w:val="24"/>
        </w:rPr>
        <w:t>ТУРИСТИЧЕСКОГО НАЛОГА</w:t>
      </w:r>
    </w:p>
    <w:p w14:paraId="21000000">
      <w:pPr>
        <w:pStyle w:val="Style_2"/>
        <w:ind/>
        <w:jc w:val="both"/>
      </w:pPr>
    </w:p>
    <w:p w14:paraId="22000000">
      <w:pPr>
        <w:pStyle w:val="Style_2"/>
        <w:ind/>
        <w:jc w:val="right"/>
      </w:pPr>
      <w:r>
        <w:rPr>
          <w:sz w:val="24"/>
        </w:rPr>
        <w:t>Принято Думой</w:t>
      </w:r>
    </w:p>
    <w:p w14:paraId="23000000">
      <w:pPr>
        <w:pStyle w:val="Style_2"/>
        <w:ind/>
        <w:jc w:val="right"/>
      </w:pPr>
      <w:r>
        <w:rPr>
          <w:sz w:val="24"/>
        </w:rPr>
        <w:t>Усть-Большерецкого муниципального района</w:t>
      </w:r>
    </w:p>
    <w:p w14:paraId="24000000">
      <w:pPr>
        <w:pStyle w:val="Style_2"/>
        <w:ind/>
        <w:jc w:val="right"/>
      </w:pPr>
      <w:r>
        <w:rPr>
          <w:sz w:val="24"/>
        </w:rPr>
        <w:t>(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"https://login.consultant.ru/link/?req=doc&amp;base=RLAW296&amp;n=213974&amp;date=04.03.2025" \o "Решение Думы Усть-Большерецкого муниципального района Камчатского края от 19.11.2024 N 356 "О принятии Решения "Об установлении и введении в действие на межселенных территориях Усть-Большерецкого муниципального района туристического налога" {КонсультантПлюс}"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Решение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от 19 ноября 2024 года N 356)</w:t>
      </w:r>
    </w:p>
    <w:p w14:paraId="25000000">
      <w:pPr>
        <w:pStyle w:val="Style_2"/>
        <w:ind/>
        <w:jc w:val="both"/>
      </w:pPr>
    </w:p>
    <w:p w14:paraId="26000000">
      <w:pPr>
        <w:pStyle w:val="Style_3"/>
        <w:ind w:firstLine="540" w:left="0"/>
        <w:jc w:val="both"/>
        <w:outlineLvl w:val="0"/>
      </w:pPr>
      <w:r>
        <w:rPr>
          <w:sz w:val="24"/>
        </w:rPr>
        <w:t>Статья 1. Общие положения</w:t>
      </w:r>
    </w:p>
    <w:p w14:paraId="27000000">
      <w:pPr>
        <w:pStyle w:val="Style_2"/>
        <w:ind/>
        <w:jc w:val="both"/>
      </w:pPr>
    </w:p>
    <w:p w14:paraId="28000000">
      <w:pPr>
        <w:pStyle w:val="Style_2"/>
        <w:ind w:firstLine="540" w:left="0"/>
        <w:jc w:val="both"/>
      </w:pPr>
      <w:r>
        <w:rPr>
          <w:sz w:val="24"/>
        </w:rPr>
        <w:t xml:space="preserve">В соответствии с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"https://login.consultant.ru/link/?req=doc&amp;base=LAW&amp;n=494979&amp;date=04.03.2025&amp;dst=26407&amp;field=134"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главой 33.1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Налогового кодекса Российской Федерации (далее - Налоговый кодекс) настоящим Решением устанавливается и вводится в действие с 1 января 2025 года на межселенных территориях Усть-Большерецкого муниципального района туристический налог (далее - налог).</w:t>
      </w:r>
    </w:p>
    <w:p w14:paraId="29000000">
      <w:pPr>
        <w:pStyle w:val="Style_2"/>
        <w:ind/>
        <w:jc w:val="both"/>
      </w:pPr>
    </w:p>
    <w:p w14:paraId="2A000000">
      <w:pPr>
        <w:pStyle w:val="Style_3"/>
        <w:ind w:firstLine="540" w:left="0"/>
        <w:jc w:val="both"/>
        <w:outlineLvl w:val="0"/>
      </w:pPr>
      <w:r>
        <w:rPr>
          <w:sz w:val="24"/>
        </w:rPr>
        <w:t>Статья 2. Налоговая база</w:t>
      </w:r>
    </w:p>
    <w:p w14:paraId="2B000000">
      <w:pPr>
        <w:pStyle w:val="Style_2"/>
        <w:ind/>
        <w:jc w:val="both"/>
      </w:pPr>
    </w:p>
    <w:p w14:paraId="2C000000">
      <w:pPr>
        <w:pStyle w:val="Style_2"/>
        <w:ind w:firstLine="540" w:left="0"/>
        <w:jc w:val="both"/>
      </w:pPr>
      <w:r>
        <w:rPr>
          <w:sz w:val="24"/>
        </w:rPr>
        <w:t>1.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 настоящей статье - услуга по временному проживанию) без учета сумм налога и налога на добавленную стоимость.</w:t>
      </w:r>
    </w:p>
    <w:p w14:paraId="2D000000">
      <w:pPr>
        <w:pStyle w:val="Style_2"/>
        <w:spacing w:before="240"/>
        <w:ind w:firstLine="540" w:left="0"/>
        <w:jc w:val="both"/>
      </w:pPr>
      <w:r>
        <w:rPr>
          <w:sz w:val="24"/>
        </w:rPr>
        <w:t xml:space="preserve">2.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физическим лицам, указанным в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"https://login.consultant.ru/link/?req=doc&amp;base=LAW&amp;n=494979&amp;date=04.03.2025&amp;dst=26420&amp;field=134"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части 2 статьи 418.4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Налогового кодекса, а также следующим категориям граждан:</w:t>
      </w:r>
    </w:p>
    <w:p w14:paraId="2E000000">
      <w:pPr>
        <w:pStyle w:val="Style_2"/>
        <w:spacing w:before="240"/>
        <w:ind w:firstLine="540" w:left="0"/>
        <w:jc w:val="both"/>
      </w:pPr>
      <w:bookmarkStart w:id="1" w:name="P23"/>
      <w:bookmarkEnd w:id="1"/>
      <w:r>
        <w:rPr>
          <w:sz w:val="24"/>
        </w:rPr>
        <w:t>1) жителям Камчатского края, зарегистрированным по месту жительства на территории Камчатского края;</w:t>
      </w:r>
    </w:p>
    <w:p w14:paraId="2F000000">
      <w:pPr>
        <w:pStyle w:val="Style_2"/>
        <w:spacing w:before="240"/>
        <w:ind w:firstLine="540" w:left="0"/>
        <w:jc w:val="both"/>
      </w:pPr>
      <w:bookmarkStart w:id="2" w:name="P24"/>
      <w:bookmarkEnd w:id="2"/>
      <w:r>
        <w:rPr>
          <w:sz w:val="24"/>
        </w:rPr>
        <w:t>2) почетным гражданам Усть-Большерецкого района;</w:t>
      </w:r>
    </w:p>
    <w:p w14:paraId="30000000">
      <w:pPr>
        <w:pStyle w:val="Style_2"/>
        <w:spacing w:before="240"/>
        <w:ind w:firstLine="540" w:left="0"/>
        <w:jc w:val="both"/>
      </w:pPr>
      <w:r>
        <w:rPr>
          <w:sz w:val="24"/>
        </w:rPr>
        <w:t>3) членам семей погибших (умерших) участников боевых действий;</w:t>
      </w:r>
    </w:p>
    <w:p w14:paraId="31000000">
      <w:pPr>
        <w:pStyle w:val="Style_2"/>
        <w:spacing w:before="240"/>
        <w:ind w:firstLine="540" w:left="0"/>
        <w:jc w:val="both"/>
      </w:pPr>
      <w:bookmarkStart w:id="3" w:name="P26"/>
      <w:bookmarkEnd w:id="3"/>
      <w:r>
        <w:rPr>
          <w:sz w:val="24"/>
        </w:rPr>
        <w:t>4) лицам, подвергшимся воздействию радиации вследствие радиационных катастроф.</w:t>
      </w:r>
    </w:p>
    <w:p w14:paraId="32000000">
      <w:pPr>
        <w:pStyle w:val="Style_2"/>
        <w:spacing w:before="240"/>
        <w:ind w:firstLine="540" w:left="0"/>
        <w:jc w:val="both"/>
      </w:pPr>
      <w:r>
        <w:rPr>
          <w:sz w:val="24"/>
        </w:rPr>
        <w:t xml:space="preserve">Статус физического лица, указанного в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"P23" \o "1) жителям Камчатского края, зарегистрированным по месту жительства на территории Камчатского края;"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подпункте 1 пункта 2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настоящей статьи, подтверждается копией документа, удостоверяющего личность - паспорта, с отметкой о регистрации по месту жительства на территории Камчатского края.</w:t>
      </w:r>
    </w:p>
    <w:p w14:paraId="33000000">
      <w:pPr>
        <w:pStyle w:val="Style_2"/>
        <w:spacing w:before="240"/>
        <w:ind w:firstLine="540" w:left="0"/>
        <w:jc w:val="both"/>
      </w:pPr>
      <w:r>
        <w:rPr>
          <w:sz w:val="24"/>
        </w:rPr>
        <w:t xml:space="preserve">Статус физического лица, указанного в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"P24" \o "2) почетным гражданам Усть-Большерецкого района;"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подпунктах 2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-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"P26" \o "4) лицам, подвергшимся воздействию радиации вследствие радиационных катастроф."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4 пункта 2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настоящей статьи, подтверждается соответствующим удостоверением установленного законодательством Российской Федерации образца.</w:t>
      </w:r>
    </w:p>
    <w:p w14:paraId="34000000">
      <w:pPr>
        <w:pStyle w:val="Style_2"/>
        <w:ind/>
        <w:jc w:val="both"/>
      </w:pPr>
    </w:p>
    <w:p w14:paraId="35000000">
      <w:pPr>
        <w:pStyle w:val="Style_3"/>
        <w:ind w:firstLine="540" w:left="0"/>
        <w:jc w:val="both"/>
        <w:outlineLvl w:val="0"/>
      </w:pPr>
      <w:r>
        <w:rPr>
          <w:sz w:val="24"/>
        </w:rPr>
        <w:t>Статья 3. Налоговая ставка</w:t>
      </w:r>
    </w:p>
    <w:p w14:paraId="36000000">
      <w:pPr>
        <w:pStyle w:val="Style_2"/>
        <w:ind/>
        <w:jc w:val="both"/>
      </w:pPr>
    </w:p>
    <w:p w14:paraId="37000000">
      <w:pPr>
        <w:pStyle w:val="Style_2"/>
        <w:ind w:firstLine="540" w:left="0"/>
        <w:jc w:val="both"/>
      </w:pPr>
      <w:r>
        <w:rPr>
          <w:sz w:val="24"/>
        </w:rPr>
        <w:t>Налоговая ставка устанавливается в размере:</w:t>
      </w:r>
    </w:p>
    <w:p w14:paraId="38000000">
      <w:pPr>
        <w:pStyle w:val="Style_2"/>
        <w:spacing w:before="240"/>
        <w:ind w:firstLine="540" w:left="0"/>
        <w:jc w:val="both"/>
      </w:pPr>
      <w:r>
        <w:rPr>
          <w:sz w:val="24"/>
        </w:rPr>
        <w:t>а) 1 процент от налоговой базы в 2025 году;</w:t>
      </w:r>
    </w:p>
    <w:p w14:paraId="39000000">
      <w:pPr>
        <w:pStyle w:val="Style_2"/>
        <w:spacing w:before="240"/>
        <w:ind w:firstLine="540" w:left="0"/>
        <w:jc w:val="both"/>
      </w:pPr>
      <w:r>
        <w:rPr>
          <w:sz w:val="24"/>
        </w:rPr>
        <w:t>б) 2 процента от налоговой базы в 2026 году;</w:t>
      </w:r>
    </w:p>
    <w:p w14:paraId="3A000000">
      <w:pPr>
        <w:pStyle w:val="Style_2"/>
        <w:spacing w:before="240"/>
        <w:ind w:firstLine="540" w:left="0"/>
        <w:jc w:val="both"/>
      </w:pPr>
      <w:r>
        <w:rPr>
          <w:sz w:val="24"/>
        </w:rPr>
        <w:t>в) 3 процента от налоговой базы в 2027 году;</w:t>
      </w:r>
    </w:p>
    <w:p w14:paraId="3B000000">
      <w:pPr>
        <w:pStyle w:val="Style_2"/>
        <w:spacing w:before="240"/>
        <w:ind w:firstLine="540" w:left="0"/>
        <w:jc w:val="both"/>
      </w:pPr>
      <w:r>
        <w:rPr>
          <w:sz w:val="24"/>
        </w:rPr>
        <w:t>г) 4 процента от налоговой базы в 2028 году;</w:t>
      </w:r>
    </w:p>
    <w:p w14:paraId="3C000000">
      <w:pPr>
        <w:pStyle w:val="Style_2"/>
        <w:spacing w:before="240"/>
        <w:ind w:firstLine="540" w:left="0"/>
        <w:jc w:val="both"/>
      </w:pPr>
      <w:r>
        <w:rPr>
          <w:sz w:val="24"/>
        </w:rPr>
        <w:t>д) 5 процентов от налоговой базы, начиная с 2029 года.</w:t>
      </w:r>
    </w:p>
    <w:p w14:paraId="3D000000">
      <w:pPr>
        <w:pStyle w:val="Style_2"/>
        <w:ind/>
        <w:jc w:val="both"/>
      </w:pPr>
    </w:p>
    <w:p w14:paraId="3E000000">
      <w:pPr>
        <w:pStyle w:val="Style_3"/>
        <w:ind w:firstLine="540" w:left="0"/>
        <w:jc w:val="both"/>
        <w:outlineLvl w:val="0"/>
      </w:pPr>
      <w:r>
        <w:rPr>
          <w:sz w:val="24"/>
        </w:rPr>
        <w:t>Статья 4. Налоговый период</w:t>
      </w:r>
    </w:p>
    <w:p w14:paraId="3F000000">
      <w:pPr>
        <w:pStyle w:val="Style_2"/>
        <w:ind/>
        <w:jc w:val="both"/>
      </w:pPr>
    </w:p>
    <w:p w14:paraId="40000000">
      <w:pPr>
        <w:pStyle w:val="Style_2"/>
        <w:ind w:firstLine="540" w:left="0"/>
        <w:jc w:val="both"/>
      </w:pPr>
      <w:r>
        <w:rPr>
          <w:sz w:val="24"/>
        </w:rPr>
        <w:t>Налоговым периодом по налогу признается квартал.</w:t>
      </w:r>
    </w:p>
    <w:p w14:paraId="41000000">
      <w:pPr>
        <w:pStyle w:val="Style_2"/>
        <w:ind/>
        <w:jc w:val="both"/>
      </w:pPr>
    </w:p>
    <w:p w14:paraId="42000000">
      <w:pPr>
        <w:pStyle w:val="Style_3"/>
        <w:ind w:firstLine="540" w:left="0"/>
        <w:jc w:val="both"/>
        <w:outlineLvl w:val="0"/>
      </w:pPr>
      <w:r>
        <w:rPr>
          <w:sz w:val="24"/>
        </w:rPr>
        <w:t>Статья 5. Порядок исчисления налога</w:t>
      </w:r>
    </w:p>
    <w:p w14:paraId="43000000">
      <w:pPr>
        <w:pStyle w:val="Style_2"/>
        <w:ind/>
        <w:jc w:val="both"/>
      </w:pPr>
    </w:p>
    <w:p w14:paraId="44000000">
      <w:pPr>
        <w:pStyle w:val="Style_2"/>
        <w:ind w:firstLine="540" w:left="0"/>
        <w:jc w:val="both"/>
      </w:pPr>
      <w:r>
        <w:rPr>
          <w:sz w:val="24"/>
        </w:rPr>
        <w:t xml:space="preserve">Порядок исчисления налога устанавливается в соответствии со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"https://login.consultant.ru/link/?req=doc&amp;base=LAW&amp;n=494979&amp;date=04.03.2025&amp;dst=26435&amp;field=134"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статьей 418.7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Налогового кодекса.</w:t>
      </w:r>
    </w:p>
    <w:p w14:paraId="45000000">
      <w:pPr>
        <w:pStyle w:val="Style_2"/>
        <w:ind/>
        <w:jc w:val="both"/>
      </w:pPr>
    </w:p>
    <w:p w14:paraId="46000000">
      <w:pPr>
        <w:pStyle w:val="Style_3"/>
        <w:ind w:firstLine="540" w:left="0"/>
        <w:jc w:val="both"/>
        <w:outlineLvl w:val="0"/>
      </w:pPr>
      <w:r>
        <w:rPr>
          <w:sz w:val="24"/>
        </w:rPr>
        <w:t>Статья 6. Порядок и сроки уплаты налога</w:t>
      </w:r>
    </w:p>
    <w:p w14:paraId="47000000">
      <w:pPr>
        <w:pStyle w:val="Style_2"/>
        <w:ind/>
        <w:jc w:val="both"/>
      </w:pPr>
    </w:p>
    <w:p w14:paraId="48000000">
      <w:pPr>
        <w:pStyle w:val="Style_2"/>
        <w:ind w:firstLine="540" w:left="0"/>
        <w:jc w:val="both"/>
      </w:pPr>
      <w:r>
        <w:rPr>
          <w:sz w:val="24"/>
        </w:rPr>
        <w:t xml:space="preserve">Порядок и сроки уплаты налога устанавливаются в соответствии со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"https://login.consultant.ru/link/?req=doc&amp;base=LAW&amp;n=494979&amp;date=04.03.2025&amp;dst=26440&amp;field=134" \o ""Налоговый кодекс Российской Федерации (часть вторая)" от 05.08.2000 N 117-ФЗ (ред. от 28.12.2024, с изм. от 21.01.2025) {КонсультантПлюс}"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статьей 418.8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Налогового кодекса.</w:t>
      </w:r>
    </w:p>
    <w:p w14:paraId="49000000">
      <w:pPr>
        <w:pStyle w:val="Style_2"/>
        <w:ind/>
        <w:jc w:val="both"/>
      </w:pPr>
    </w:p>
    <w:p w14:paraId="4A000000">
      <w:pPr>
        <w:pStyle w:val="Style_3"/>
        <w:ind w:firstLine="540" w:left="0"/>
        <w:jc w:val="both"/>
        <w:outlineLvl w:val="0"/>
      </w:pPr>
      <w:r>
        <w:rPr>
          <w:sz w:val="24"/>
        </w:rPr>
        <w:t>Статья 7. Заключительные положения</w:t>
      </w:r>
    </w:p>
    <w:p w14:paraId="4B000000">
      <w:pPr>
        <w:pStyle w:val="Style_2"/>
        <w:ind/>
        <w:jc w:val="both"/>
      </w:pPr>
    </w:p>
    <w:p w14:paraId="4C000000">
      <w:pPr>
        <w:pStyle w:val="Style_2"/>
        <w:ind w:firstLine="540" w:left="0"/>
        <w:jc w:val="both"/>
      </w:pPr>
      <w:r>
        <w:rPr>
          <w:sz w:val="24"/>
        </w:rPr>
        <w:t>Настоящее Решение вступает в силу с 01.01.2025, но не ранее чем по истечении 1 месяца со дня его официального опубликования и не ранее 1 числа очередного налогового периода.</w:t>
      </w:r>
    </w:p>
    <w:p w14:paraId="4D000000">
      <w:pPr>
        <w:pStyle w:val="Style_2"/>
        <w:ind/>
        <w:jc w:val="both"/>
      </w:pPr>
    </w:p>
    <w:p w14:paraId="4E000000">
      <w:pPr>
        <w:pStyle w:val="Style_2"/>
        <w:ind/>
        <w:jc w:val="right"/>
      </w:pPr>
      <w:r>
        <w:rPr>
          <w:sz w:val="24"/>
        </w:rPr>
        <w:t>Исполняющий обязанности главы</w:t>
      </w:r>
    </w:p>
    <w:p w14:paraId="4F000000">
      <w:pPr>
        <w:pStyle w:val="Style_2"/>
        <w:ind/>
        <w:jc w:val="right"/>
      </w:pPr>
      <w:r>
        <w:rPr>
          <w:sz w:val="24"/>
        </w:rPr>
        <w:t>Усть-Большерецкого муниципального района</w:t>
      </w:r>
    </w:p>
    <w:p w14:paraId="50000000">
      <w:pPr>
        <w:pStyle w:val="Style_2"/>
        <w:ind/>
        <w:jc w:val="right"/>
      </w:pPr>
      <w:r>
        <w:rPr>
          <w:sz w:val="24"/>
        </w:rPr>
        <w:t>Б.Б.КВИТКО</w:t>
      </w:r>
    </w:p>
    <w:p w14:paraId="51000000">
      <w:pPr>
        <w:pStyle w:val="Style_2"/>
        <w:ind/>
        <w:jc w:val="both"/>
      </w:pPr>
    </w:p>
    <w:p w14:paraId="52000000">
      <w:pPr>
        <w:pStyle w:val="Style_2"/>
        <w:ind/>
        <w:jc w:val="both"/>
      </w:pPr>
    </w:p>
    <w:p w14:paraId="53000000">
      <w:pPr>
        <w:pStyle w:val="Style_2"/>
        <w:spacing w:after="100" w:before="100"/>
        <w:ind/>
        <w:jc w:val="both"/>
        <w:rPr>
          <w:sz w:val="2"/>
        </w:rPr>
      </w:pPr>
    </w:p>
    <w:sectPr>
      <w:headerReference r:id="rId1" w:type="default"/>
      <w:headerReference r:id="rId3" w:type="first"/>
      <w:footerReference r:id="rId2" w:type="default"/>
      <w:footerReference r:id="rId4" w:type="first"/>
      <w:pgSz w:h="16838" w:orient="portrait" w:w="11906"/>
      <w:pgMar w:bottom="1440" w:footer="0" w:gutter="0" w:header="0" w:left="1133" w:right="56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Думы Усть-Большерецкого муниципального района Камчатского края от 20.11.2024 N 239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установлении и введении в...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Думы Усть-Большерецкого муниципального района Камчатского края от 20.11.2024 N 239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установлении и введении в...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ConsPlusNormal"/>
    <w:link w:val="Style_2_ch"/>
    <w:pPr>
      <w:widowControl w:val="0"/>
      <w:ind/>
    </w:pPr>
    <w:rPr>
      <w:rFonts w:ascii="Times New Roman" w:hAnsi="Times New Roman"/>
      <w:sz w:val="24"/>
    </w:rPr>
  </w:style>
  <w:style w:default="1" w:styleId="Style_2_ch" w:type="character">
    <w:name w:val="ConsPlusNormal"/>
    <w:link w:val="Style_2"/>
    <w:rPr>
      <w:rFonts w:ascii="Times New Roman" w:hAnsi="Times New Roman"/>
      <w:sz w:val="24"/>
    </w:rPr>
  </w:style>
  <w:style w:styleId="Style_4" w:type="paragraph">
    <w:name w:val="toc 2"/>
    <w:next w:val="Style_5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6" w:type="paragraph">
    <w:name w:val="ConsPlusTextList"/>
    <w:link w:val="Style_6_ch"/>
    <w:pPr>
      <w:widowControl w:val="0"/>
      <w:ind/>
    </w:pPr>
    <w:rPr>
      <w:rFonts w:ascii="Times New Roman" w:hAnsi="Times New Roman"/>
      <w:sz w:val="24"/>
    </w:rPr>
  </w:style>
  <w:style w:styleId="Style_6_ch" w:type="character">
    <w:name w:val="ConsPlusTextList"/>
    <w:link w:val="Style_6"/>
    <w:rPr>
      <w:rFonts w:ascii="Times New Roman" w:hAnsi="Times New Roman"/>
      <w:sz w:val="24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  <w:sz w:val="20"/>
    </w:rPr>
  </w:style>
  <w:style w:styleId="Style_8_ch" w:type="character">
    <w:name w:val="ConsPlusNonformat"/>
    <w:link w:val="Style_8"/>
    <w:rPr>
      <w:rFonts w:ascii="Courier New" w:hAnsi="Courier New"/>
      <w:sz w:val="20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sz w:val="24"/>
    </w:rPr>
  </w:style>
  <w:style w:styleId="Style_3_ch" w:type="character">
    <w:name w:val="ConsPlusTitle"/>
    <w:link w:val="Style_3"/>
    <w:rPr>
      <w:rFonts w:ascii="Arial" w:hAnsi="Arial"/>
      <w:b w:val="1"/>
      <w:sz w:val="24"/>
    </w:rPr>
  </w:style>
  <w:style w:styleId="Style_9" w:type="paragraph">
    <w:name w:val="ConsPlusCell"/>
    <w:link w:val="Style_9_ch"/>
    <w:pPr>
      <w:widowControl w:val="0"/>
      <w:ind/>
    </w:pPr>
    <w:rPr>
      <w:rFonts w:ascii="Courier New" w:hAnsi="Courier New"/>
      <w:sz w:val="20"/>
    </w:rPr>
  </w:style>
  <w:style w:styleId="Style_9_ch" w:type="character">
    <w:name w:val="ConsPlusCell"/>
    <w:link w:val="Style_9"/>
    <w:rPr>
      <w:rFonts w:ascii="Courier New" w:hAnsi="Courier New"/>
      <w:sz w:val="20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5" w:type="paragraph">
    <w:name w:val="Normal"/>
    <w:link w:val="Style_5_ch"/>
    <w:uiPriority w:val="0"/>
    <w:qFormat/>
  </w:style>
  <w:style w:styleId="Style_5_ch" w:type="character">
    <w:name w:val="Normal"/>
    <w:link w:val="Style_5"/>
  </w:style>
  <w:style w:styleId="Style_12" w:type="paragraph">
    <w:name w:val="ConsPlusTitle"/>
    <w:link w:val="Style_12_ch"/>
    <w:pPr>
      <w:widowControl w:val="0"/>
      <w:ind/>
    </w:pPr>
    <w:rPr>
      <w:rFonts w:ascii="Arial" w:hAnsi="Arial"/>
      <w:b w:val="1"/>
      <w:sz w:val="24"/>
    </w:rPr>
  </w:style>
  <w:style w:styleId="Style_12_ch" w:type="character">
    <w:name w:val="ConsPlusTitle"/>
    <w:link w:val="Style_12"/>
    <w:rPr>
      <w:rFonts w:ascii="Arial" w:hAnsi="Arial"/>
      <w:b w:val="1"/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JurTerm"/>
    <w:link w:val="Style_15_ch"/>
    <w:pPr>
      <w:widowControl w:val="0"/>
      <w:ind/>
    </w:pPr>
    <w:rPr>
      <w:rFonts w:ascii="Tahoma" w:hAnsi="Tahoma"/>
      <w:sz w:val="26"/>
    </w:rPr>
  </w:style>
  <w:style w:styleId="Style_15_ch" w:type="character">
    <w:name w:val="ConsPlusJurTerm"/>
    <w:link w:val="Style_15"/>
    <w:rPr>
      <w:rFonts w:ascii="Tahoma" w:hAnsi="Tahoma"/>
      <w:sz w:val="26"/>
    </w:rPr>
  </w:style>
  <w:style w:styleId="Style_16" w:type="paragraph">
    <w:name w:val="ConsPlusDocList"/>
    <w:link w:val="Style_16_ch"/>
    <w:pPr>
      <w:widowControl w:val="0"/>
      <w:ind/>
    </w:pPr>
    <w:rPr>
      <w:rFonts w:ascii="Tahoma" w:hAnsi="Tahoma"/>
      <w:sz w:val="18"/>
    </w:rPr>
  </w:style>
  <w:style w:styleId="Style_16_ch" w:type="character">
    <w:name w:val="ConsPlusDocList"/>
    <w:link w:val="Style_16"/>
    <w:rPr>
      <w:rFonts w:ascii="Tahoma" w:hAnsi="Tahoma"/>
      <w:sz w:val="18"/>
    </w:rPr>
  </w:style>
  <w:style w:styleId="Style_17" w:type="paragraph">
    <w:name w:val="ConsPlusTitlePage"/>
    <w:link w:val="Style_17_ch"/>
    <w:pPr>
      <w:widowControl w:val="0"/>
      <w:ind/>
    </w:pPr>
    <w:rPr>
      <w:rFonts w:ascii="Tahoma" w:hAnsi="Tahoma"/>
      <w:sz w:val="20"/>
    </w:rPr>
  </w:style>
  <w:style w:styleId="Style_17_ch" w:type="character">
    <w:name w:val="ConsPlusTitlePage"/>
    <w:link w:val="Style_17"/>
    <w:rPr>
      <w:rFonts w:ascii="Tahoma" w:hAnsi="Tahoma"/>
      <w:sz w:val="20"/>
    </w:rPr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ConsPlusTitlePage"/>
    <w:link w:val="Style_1_ch"/>
    <w:pPr>
      <w:widowControl w:val="0"/>
      <w:ind/>
    </w:pPr>
    <w:rPr>
      <w:rFonts w:ascii="Tahoma" w:hAnsi="Tahoma"/>
      <w:sz w:val="20"/>
    </w:rPr>
  </w:style>
  <w:style w:styleId="Style_1_ch" w:type="character">
    <w:name w:val="ConsPlusTitlePage"/>
    <w:link w:val="Style_1"/>
    <w:rPr>
      <w:rFonts w:ascii="Tahoma" w:hAnsi="Tahoma"/>
      <w:sz w:val="20"/>
    </w:rPr>
  </w:style>
  <w:style w:styleId="Style_19" w:type="paragraph">
    <w:name w:val="ConsPlusTextList"/>
    <w:link w:val="Style_19_ch"/>
    <w:pPr>
      <w:widowControl w:val="0"/>
      <w:ind/>
    </w:pPr>
    <w:rPr>
      <w:rFonts w:ascii="Times New Roman" w:hAnsi="Times New Roman"/>
      <w:sz w:val="24"/>
    </w:rPr>
  </w:style>
  <w:style w:styleId="Style_19_ch" w:type="character">
    <w:name w:val="ConsPlusTextList"/>
    <w:link w:val="Style_19"/>
    <w:rPr>
      <w:rFonts w:ascii="Times New Roman" w:hAnsi="Times New Roman"/>
      <w:sz w:val="24"/>
    </w:rPr>
  </w:style>
  <w:style w:styleId="Style_20" w:type="paragraph">
    <w:name w:val="ConsPlusCell"/>
    <w:link w:val="Style_20_ch"/>
    <w:pPr>
      <w:widowControl w:val="0"/>
      <w:ind/>
    </w:pPr>
    <w:rPr>
      <w:rFonts w:ascii="Courier New" w:hAnsi="Courier New"/>
      <w:sz w:val="20"/>
    </w:rPr>
  </w:style>
  <w:style w:styleId="Style_20_ch" w:type="character">
    <w:name w:val="ConsPlusCell"/>
    <w:link w:val="Style_20"/>
    <w:rPr>
      <w:rFonts w:ascii="Courier New" w:hAnsi="Courier New"/>
      <w:sz w:val="20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  <w:sz w:val="20"/>
    </w:rPr>
  </w:style>
  <w:style w:styleId="Style_21_ch" w:type="character">
    <w:name w:val="ConsPlusNonformat"/>
    <w:link w:val="Style_21"/>
    <w:rPr>
      <w:rFonts w:ascii="Courier New" w:hAnsi="Courier New"/>
      <w:sz w:val="20"/>
    </w:rPr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5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ConsPlusDocList"/>
    <w:link w:val="Style_24_ch"/>
    <w:pPr>
      <w:widowControl w:val="0"/>
      <w:ind/>
    </w:pPr>
    <w:rPr>
      <w:rFonts w:ascii="Tahoma" w:hAnsi="Tahoma"/>
      <w:sz w:val="18"/>
    </w:rPr>
  </w:style>
  <w:style w:styleId="Style_24_ch" w:type="character">
    <w:name w:val="ConsPlusDocList"/>
    <w:link w:val="Style_24"/>
    <w:rPr>
      <w:rFonts w:ascii="Tahoma" w:hAnsi="Tahoma"/>
      <w:sz w:val="1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ConsPlusTextList"/>
    <w:link w:val="Style_29_ch"/>
    <w:pPr>
      <w:widowControl w:val="0"/>
      <w:ind/>
    </w:pPr>
    <w:rPr>
      <w:rFonts w:ascii="Times New Roman" w:hAnsi="Times New Roman"/>
      <w:sz w:val="24"/>
    </w:rPr>
  </w:style>
  <w:style w:styleId="Style_29_ch" w:type="character">
    <w:name w:val="ConsPlusTextList"/>
    <w:link w:val="Style_29"/>
    <w:rPr>
      <w:rFonts w:ascii="Times New Roman" w:hAnsi="Times New Roman"/>
      <w:sz w:val="24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5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ConsPlusJurTerm"/>
    <w:link w:val="Style_33_ch"/>
    <w:pPr>
      <w:widowControl w:val="0"/>
      <w:ind/>
    </w:pPr>
    <w:rPr>
      <w:rFonts w:ascii="Tahoma" w:hAnsi="Tahoma"/>
      <w:sz w:val="26"/>
    </w:rPr>
  </w:style>
  <w:style w:styleId="Style_33_ch" w:type="character">
    <w:name w:val="ConsPlusJurTerm"/>
    <w:link w:val="Style_33"/>
    <w:rPr>
      <w:rFonts w:ascii="Tahoma" w:hAnsi="Tahoma"/>
      <w:sz w:val="26"/>
    </w:rPr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ConsPlusTextList"/>
    <w:link w:val="Style_37_ch"/>
    <w:pPr>
      <w:widowControl w:val="0"/>
      <w:ind/>
    </w:pPr>
    <w:rPr>
      <w:rFonts w:ascii="Times New Roman" w:hAnsi="Times New Roman"/>
      <w:sz w:val="24"/>
    </w:rPr>
  </w:style>
  <w:style w:styleId="Style_37_ch" w:type="character">
    <w:name w:val="ConsPlusTextList"/>
    <w:link w:val="Style_37"/>
    <w:rPr>
      <w:rFonts w:ascii="Times New Roman" w:hAnsi="Times New Roman"/>
      <w:sz w:val="24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2025-03-04T05:17:10Z</dcterms:modified>
</cp:coreProperties>
</file>