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 w:firstLine="540" w:left="0"/>
        <w:jc w:val="both"/>
        <w:outlineLvl w:val="0"/>
        <w:rPr>
          <w:color w:val="000000"/>
        </w:rPr>
      </w:pPr>
    </w:p>
    <w:p w14:paraId="14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СОВЕТ НАРОДНЫХ ДЕПУТАТОВ</w:t>
      </w:r>
    </w:p>
    <w:p w14:paraId="15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МИЛЬКОВСКОГО МУНИЦИПАЛЬНОГО ОКРУГА</w:t>
      </w:r>
    </w:p>
    <w:p w14:paraId="16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17000000">
      <w:pPr>
        <w:pStyle w:val="Style_2"/>
        <w:ind/>
        <w:jc w:val="center"/>
        <w:rPr>
          <w:color w:val="000000"/>
        </w:rPr>
      </w:pPr>
    </w:p>
    <w:p w14:paraId="18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РЕШЕНИЕ</w:t>
      </w:r>
    </w:p>
    <w:p w14:paraId="19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от 28 ноября 2024 г. N 57</w:t>
      </w:r>
    </w:p>
    <w:p w14:paraId="1A000000">
      <w:pPr>
        <w:pStyle w:val="Style_2"/>
        <w:ind/>
        <w:jc w:val="both"/>
        <w:rPr>
          <w:color w:val="000000"/>
        </w:rPr>
      </w:pPr>
    </w:p>
    <w:p w14:paraId="1B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 ТУРИСТИЧЕСКОМ НАЛОГЕ НА ТЕРРИТОРИИ МИЛЬКОВСКОГО</w:t>
      </w:r>
    </w:p>
    <w:p w14:paraId="1C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МУНИЦИПАЛЬНОГО ОКРУГА КАМЧАТСКОГО КРАЯ</w:t>
      </w:r>
    </w:p>
    <w:p w14:paraId="1D000000">
      <w:pPr>
        <w:pStyle w:val="Style_1"/>
        <w:ind w:firstLine="540" w:left="0"/>
        <w:jc w:val="both"/>
        <w:rPr>
          <w:color w:val="000000"/>
        </w:rPr>
      </w:pPr>
    </w:p>
    <w:p w14:paraId="1E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Принято</w:t>
      </w:r>
    </w:p>
    <w:p w14:paraId="1F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Решением Совета народных депутатов</w:t>
      </w:r>
    </w:p>
    <w:p w14:paraId="20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Мильковского муниципального округа</w:t>
      </w:r>
    </w:p>
    <w:p w14:paraId="21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от 28.11.2024 года N 211</w:t>
      </w:r>
    </w:p>
    <w:p w14:paraId="22000000">
      <w:pPr>
        <w:pStyle w:val="Style_1"/>
        <w:ind w:firstLine="540" w:left="0"/>
        <w:jc w:val="both"/>
        <w:rPr>
          <w:color w:val="000000"/>
        </w:rPr>
      </w:pPr>
    </w:p>
    <w:p w14:paraId="23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  <w:sz w:val="24"/>
        </w:rPr>
        <w:t>1. Общие положения</w:t>
      </w:r>
    </w:p>
    <w:p w14:paraId="24000000">
      <w:pPr>
        <w:pStyle w:val="Style_1"/>
        <w:ind w:firstLine="540" w:left="0"/>
        <w:jc w:val="both"/>
        <w:rPr>
          <w:color w:val="000000"/>
        </w:rPr>
      </w:pPr>
    </w:p>
    <w:p w14:paraId="25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1. В соответствии с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главой 33.1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установить и ввести в действие на территории Мильковского муниципального округа Камчатского края с 1 января 2025 года туристический налог, обязательный к уплате на территории Мильковского муниципального округа Камчатского края (далее - Мильковский муниципальный округ, округ).</w:t>
      </w:r>
    </w:p>
    <w:p w14:paraId="26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2. Настоящее Решение о туристическом налоге на территории Мильковского муниципального округа (далее - Решение) в соответствии с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главой 33.1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(далее - Налоговый кодекс РФ) устанавливает на территории округа туристический налог, определяет налоговые ставки, порядок уплаты налога, авансовых платежей по налогу, налоговые льготы.</w:t>
      </w:r>
    </w:p>
    <w:p w14:paraId="27000000">
      <w:pPr>
        <w:pStyle w:val="Style_1"/>
        <w:ind w:firstLine="540" w:left="0"/>
        <w:jc w:val="both"/>
        <w:rPr>
          <w:color w:val="000000"/>
        </w:rPr>
      </w:pPr>
    </w:p>
    <w:p w14:paraId="28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  <w:sz w:val="24"/>
        </w:rPr>
        <w:t>2. Налогоплательщики</w:t>
      </w:r>
    </w:p>
    <w:p w14:paraId="29000000">
      <w:pPr>
        <w:pStyle w:val="Style_1"/>
        <w:ind w:firstLine="540" w:left="0"/>
        <w:jc w:val="both"/>
        <w:rPr>
          <w:color w:val="000000"/>
        </w:rPr>
      </w:pPr>
    </w:p>
    <w:p w14:paraId="2A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Налогоплательщиками согласно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 418.2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РФ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РФ.</w:t>
      </w:r>
    </w:p>
    <w:p w14:paraId="2B000000">
      <w:pPr>
        <w:pStyle w:val="Style_1"/>
        <w:ind w:firstLine="540" w:left="0"/>
        <w:jc w:val="both"/>
        <w:rPr>
          <w:color w:val="000000"/>
        </w:rPr>
      </w:pPr>
    </w:p>
    <w:p w14:paraId="2C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  <w:sz w:val="24"/>
        </w:rPr>
        <w:t>3. Объект налогообложения</w:t>
      </w:r>
    </w:p>
    <w:p w14:paraId="2D000000">
      <w:pPr>
        <w:pStyle w:val="Style_1"/>
        <w:ind w:firstLine="540" w:left="0"/>
        <w:jc w:val="both"/>
        <w:rPr>
          <w:color w:val="000000"/>
        </w:rPr>
      </w:pPr>
    </w:p>
    <w:p w14:paraId="2E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РФ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Мильковского муниципального округа и включенных в реестр классифицированных средств размещения, предусмотренный Федеральным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законом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от 24.11.1996 N 132-ФЗ "Об основах туристской деятельности в Российской Федерации".</w:t>
      </w:r>
    </w:p>
    <w:p w14:paraId="2F000000">
      <w:pPr>
        <w:pStyle w:val="Style_1"/>
        <w:ind w:firstLine="540" w:left="0"/>
        <w:jc w:val="both"/>
        <w:rPr>
          <w:color w:val="000000"/>
        </w:rPr>
      </w:pPr>
    </w:p>
    <w:p w14:paraId="30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  <w:sz w:val="24"/>
        </w:rPr>
        <w:t>4. Налоговая база</w:t>
      </w:r>
    </w:p>
    <w:p w14:paraId="31000000">
      <w:pPr>
        <w:pStyle w:val="Style_1"/>
        <w:ind w:firstLine="540" w:left="0"/>
        <w:jc w:val="both"/>
        <w:rPr>
          <w:color w:val="000000"/>
        </w:rPr>
      </w:pPr>
    </w:p>
    <w:p w14:paraId="32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1.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- (далее - услуга по временному проживанию) без учета сумм налога и налога на добавленную стоимость, если иное не предусмотрено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418.4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РФ.</w:t>
      </w:r>
    </w:p>
    <w:p w14:paraId="33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34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35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36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3) участники и инвалиды Великой Отечественной войны;</w:t>
      </w:r>
    </w:p>
    <w:p w14:paraId="37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"https://login.consultant.ru/link/?req=doc&amp;base=LAW&amp;n=494979&amp;date=04.03.2025&amp;dst=101116&amp;field=134кодексРоссийскойФедерации(частьвторая)от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пункте 6.1 статьи 210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РФ;</w:t>
      </w:r>
    </w:p>
    <w:p w14:paraId="38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5) ветераны и инвалиды боевых действий;</w:t>
      </w:r>
    </w:p>
    <w:p w14:paraId="39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14:paraId="3A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3B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8) инвалиды I и II групп, инвалиды с детства, дети-инвалиды.</w:t>
      </w:r>
    </w:p>
    <w:p w14:paraId="3C000000">
      <w:pPr>
        <w:pStyle w:val="Style_1"/>
        <w:ind w:firstLine="540" w:left="0"/>
        <w:jc w:val="both"/>
        <w:rPr>
          <w:color w:val="000000"/>
        </w:rPr>
      </w:pPr>
    </w:p>
    <w:p w14:paraId="3D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  <w:sz w:val="24"/>
        </w:rPr>
        <w:t>5. Налоговая ставка</w:t>
      </w:r>
    </w:p>
    <w:p w14:paraId="3E000000">
      <w:pPr>
        <w:pStyle w:val="Style_1"/>
        <w:ind w:firstLine="540" w:left="0"/>
        <w:jc w:val="both"/>
        <w:rPr>
          <w:color w:val="000000"/>
        </w:rPr>
      </w:pPr>
    </w:p>
    <w:p w14:paraId="3F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1. Налоговая ставка устанавливается в размерах, не превышающих:</w:t>
      </w:r>
    </w:p>
    <w:p w14:paraId="40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в 2025 году - 1 процента,</w:t>
      </w:r>
    </w:p>
    <w:p w14:paraId="41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в 2026 году - 2 процентов,</w:t>
      </w:r>
    </w:p>
    <w:p w14:paraId="42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в 2027 году - 3 процентов,</w:t>
      </w:r>
    </w:p>
    <w:p w14:paraId="43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в 2028 году - 4 процентов,</w:t>
      </w:r>
    </w:p>
    <w:p w14:paraId="44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начиная с 2029 года - 5 процентов от налоговой базы.</w:t>
      </w:r>
    </w:p>
    <w:p w14:paraId="45000000">
      <w:pPr>
        <w:pStyle w:val="Style_1"/>
        <w:ind w:firstLine="540" w:left="0"/>
        <w:jc w:val="both"/>
        <w:rPr>
          <w:color w:val="000000"/>
        </w:rPr>
      </w:pPr>
    </w:p>
    <w:p w14:paraId="46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  <w:sz w:val="24"/>
        </w:rPr>
        <w:t>6. Налоговый период</w:t>
      </w:r>
    </w:p>
    <w:p w14:paraId="47000000">
      <w:pPr>
        <w:pStyle w:val="Style_1"/>
        <w:ind w:firstLine="540" w:left="0"/>
        <w:jc w:val="both"/>
        <w:rPr>
          <w:color w:val="000000"/>
        </w:rPr>
      </w:pPr>
    </w:p>
    <w:p w14:paraId="48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Налоговым периодом по налогу признается квартал.</w:t>
      </w:r>
    </w:p>
    <w:p w14:paraId="49000000">
      <w:pPr>
        <w:pStyle w:val="Style_1"/>
        <w:ind w:firstLine="540" w:left="0"/>
        <w:jc w:val="both"/>
        <w:rPr>
          <w:color w:val="000000"/>
        </w:rPr>
      </w:pPr>
    </w:p>
    <w:p w14:paraId="4A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  <w:sz w:val="24"/>
        </w:rPr>
        <w:t>7. Порядок исчисления налога</w:t>
      </w:r>
    </w:p>
    <w:p w14:paraId="4B000000">
      <w:pPr>
        <w:pStyle w:val="Style_1"/>
        <w:ind w:firstLine="540" w:left="0"/>
        <w:jc w:val="both"/>
        <w:rPr>
          <w:color w:val="000000"/>
        </w:rPr>
      </w:pPr>
    </w:p>
    <w:p w14:paraId="4C000000">
      <w:pPr>
        <w:pStyle w:val="Style_1"/>
        <w:ind w:firstLine="540" w:left="0"/>
        <w:jc w:val="both"/>
        <w:rPr>
          <w:color w:val="000000"/>
        </w:rPr>
      </w:pPr>
      <w:bookmarkStart w:id="1" w:name="P57"/>
      <w:bookmarkEnd w:id="1"/>
      <w:r>
        <w:rPr>
          <w:color w:val="000000"/>
          <w:sz w:val="24"/>
        </w:rPr>
        <w:t xml:space="preserve">1. Если иное не установлено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"https://login.consultant.ru/link/?req=doc&amp;base=LAW&amp;n=494979&amp;date=04.03.2025&amp;dst=26436&amp;field=134кодексРоссийскойФедерации(частьвторая)от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пунктом 1 статьи 418.7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РФ,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14:paraId="4D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В случае, если исчисленная в соответствии с абзацем первым настоящей части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4E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Налогоплательщики, оказывающие услуги по временному проживанию в составе услуг по санаторно-курортному лечению, исчисляют налог в отношении таких услуг в размере минимального налога.</w:t>
      </w:r>
    </w:p>
    <w:p w14:paraId="4F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2. Общая сумма налога, подлежащая уплате в бюджет Мильковского муниципального округа, исчисляется по итогам налогового периода как сумма, полученная в результате сложения сумм налогов, исчисленных в соответствии с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\l "P57" \o "1. Если иное не установлено пунктом 1 статьи 418.7 Налогового кодекса РФ,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частью 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настоящего раздела по услугам, оказанным за налоговый период во всех средствах размещения, принадлежащих налогоплательщику, расположенных на территории Мильковского муниципального округа.</w:t>
      </w:r>
    </w:p>
    <w:p w14:paraId="50000000">
      <w:pPr>
        <w:pStyle w:val="Style_1"/>
        <w:ind w:firstLine="540" w:left="0"/>
        <w:jc w:val="both"/>
        <w:rPr>
          <w:color w:val="000000"/>
        </w:rPr>
      </w:pPr>
    </w:p>
    <w:p w14:paraId="51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  <w:sz w:val="24"/>
        </w:rPr>
        <w:t>8. Порядок и сроки уплаты налога</w:t>
      </w:r>
    </w:p>
    <w:p w14:paraId="52000000">
      <w:pPr>
        <w:pStyle w:val="Style_1"/>
        <w:ind w:firstLine="540" w:left="0"/>
        <w:jc w:val="both"/>
        <w:rPr>
          <w:color w:val="000000"/>
        </w:rPr>
      </w:pPr>
    </w:p>
    <w:p w14:paraId="53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1. Налог уплачивается в бюджет Мильковского муниципального округа в срок не позднее 28-го числа месяца, следующего за истекшим налоговым периодом.</w:t>
      </w:r>
    </w:p>
    <w:p w14:paraId="54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2. По итогам налогового периода налогоплательщики представляют налоговую декларацию в налоговый орган в порядке и сроки, установленные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"https://login.consultant.ru/link/?req=doc&amp;base=LAW&amp;n=494979&amp;date=04.03.2025&amp;dst=26442&amp;field=134кодексРоссийскойФедерации(частьвторая)от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418.9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РФ.</w:t>
      </w:r>
    </w:p>
    <w:p w14:paraId="55000000">
      <w:pPr>
        <w:pStyle w:val="Style_1"/>
        <w:ind w:firstLine="540" w:left="0"/>
        <w:jc w:val="both"/>
        <w:rPr>
          <w:color w:val="000000"/>
        </w:rPr>
      </w:pPr>
    </w:p>
    <w:p w14:paraId="56000000">
      <w:pPr>
        <w:pStyle w:val="Style_2"/>
        <w:ind/>
        <w:jc w:val="center"/>
        <w:outlineLvl w:val="0"/>
        <w:rPr>
          <w:color w:val="000000"/>
        </w:rPr>
      </w:pPr>
      <w:r>
        <w:rPr>
          <w:color w:val="000000"/>
          <w:sz w:val="24"/>
        </w:rPr>
        <w:t>9. Заключительные положения</w:t>
      </w:r>
    </w:p>
    <w:p w14:paraId="57000000">
      <w:pPr>
        <w:pStyle w:val="Style_1"/>
        <w:ind w:firstLine="540" w:left="0"/>
        <w:jc w:val="both"/>
        <w:rPr>
          <w:color w:val="000000"/>
        </w:rPr>
      </w:pPr>
    </w:p>
    <w:p w14:paraId="58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Настоящее Решение вступает в силу с 01.01.2025, но не ранее, чем по истечении 1 месяца со дня его официального опубликования и не ранее первого числа очередного налогового периода.</w:t>
      </w:r>
    </w:p>
    <w:p w14:paraId="59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10. Обнародовать настоящее Решение путем его опубликования в периодическом печатном издании газета "Мильковские новости", разместить на официальном сайте Мильковского муниципального округа Камчатского края в информационно-телекоммуникационной сети "Интернет" и в местах, предназначенных для обнародования нормативных правовых актов.</w:t>
      </w:r>
    </w:p>
    <w:p w14:paraId="5A000000">
      <w:pPr>
        <w:pStyle w:val="Style_1"/>
        <w:ind w:firstLine="540" w:left="0"/>
        <w:jc w:val="both"/>
        <w:rPr>
          <w:color w:val="000000"/>
        </w:rPr>
      </w:pPr>
    </w:p>
    <w:p w14:paraId="5B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Глава</w:t>
      </w:r>
    </w:p>
    <w:p w14:paraId="5C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Мильковского муниципального округа</w:t>
      </w:r>
    </w:p>
    <w:p w14:paraId="5D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Н.В.СЕПКО</w:t>
      </w:r>
    </w:p>
    <w:p w14:paraId="5E000000">
      <w:pPr>
        <w:pStyle w:val="Style_1"/>
        <w:ind w:firstLine="540" w:left="0"/>
        <w:jc w:val="both"/>
        <w:rPr>
          <w:color w:val="000000"/>
        </w:rPr>
      </w:pPr>
    </w:p>
    <w:p w14:paraId="5F000000">
      <w:pPr>
        <w:pStyle w:val="Style_1"/>
        <w:ind w:firstLine="540" w:left="0"/>
        <w:jc w:val="both"/>
        <w:rPr>
          <w:color w:val="000000"/>
        </w:rPr>
      </w:pPr>
    </w:p>
    <w:p w14:paraId="60000000">
      <w:pPr>
        <w:pStyle w:val="Style_1"/>
        <w:spacing w:after="100" w:before="100"/>
        <w:ind/>
        <w:jc w:val="both"/>
        <w:rPr>
          <w:color w:val="000000"/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Совета Народных депутатов Мильковского муниципального округа Камчатского края от 28.11.2024 N 57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туристическо...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Совета Народных депутатов Мильковского муниципального округа Камчатского края от 28.11.2024 N 57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 туристическо...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sz w:val="20"/>
    </w:rPr>
  </w:style>
  <w:style w:styleId="Style_3_ch" w:type="character">
    <w:name w:val="ConsPlusTitlePage"/>
    <w:link w:val="Style_3"/>
    <w:rPr>
      <w:rFonts w:ascii="Tahoma" w:hAnsi="Tahoma"/>
      <w:sz w:val="20"/>
    </w:rPr>
  </w:style>
  <w:style w:styleId="Style_4" w:type="paragraph">
    <w:name w:val="toc 2"/>
    <w:next w:val="Style_5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6" w:type="paragraph">
    <w:name w:val="toc 4"/>
    <w:next w:val="Style_5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5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5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5" w:type="paragraph">
    <w:name w:val="Normal"/>
    <w:link w:val="Style_5_ch"/>
    <w:uiPriority w:val="0"/>
    <w:qFormat/>
  </w:style>
  <w:style w:styleId="Style_5_ch" w:type="character">
    <w:name w:val="Normal"/>
    <w:link w:val="Style_5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JurTerm"/>
    <w:link w:val="Style_11_ch"/>
    <w:pPr>
      <w:widowControl w:val="0"/>
      <w:ind/>
    </w:pPr>
    <w:rPr>
      <w:rFonts w:ascii="Tahoma" w:hAnsi="Tahoma"/>
      <w:sz w:val="26"/>
    </w:rPr>
  </w:style>
  <w:style w:styleId="Style_11_ch" w:type="character">
    <w:name w:val="ConsPlusJurTerm"/>
    <w:link w:val="Style_11"/>
    <w:rPr>
      <w:rFonts w:ascii="Tahoma" w:hAnsi="Tahoma"/>
      <w:sz w:val="26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ConsPlusTextList"/>
    <w:link w:val="Style_12"/>
    <w:rPr>
      <w:rFonts w:ascii="Times New Roman" w:hAnsi="Times New Roman"/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ConsPlusDocList"/>
    <w:link w:val="Style_14_ch"/>
    <w:pPr>
      <w:widowControl w:val="0"/>
      <w:ind/>
    </w:pPr>
    <w:rPr>
      <w:rFonts w:ascii="Tahoma" w:hAnsi="Tahoma"/>
      <w:sz w:val="18"/>
    </w:rPr>
  </w:style>
  <w:style w:styleId="Style_14_ch" w:type="character">
    <w:name w:val="ConsPlusDocList"/>
    <w:link w:val="Style_14"/>
    <w:rPr>
      <w:rFonts w:ascii="Tahoma" w:hAnsi="Tahoma"/>
      <w:sz w:val="18"/>
    </w:rPr>
  </w:style>
  <w:style w:styleId="Style_15" w:type="paragraph">
    <w:name w:val="ConsPlusTextList"/>
    <w:link w:val="Style_15_ch"/>
    <w:pPr>
      <w:widowControl w:val="0"/>
      <w:ind/>
    </w:pPr>
    <w:rPr>
      <w:rFonts w:ascii="Times New Roman" w:hAnsi="Times New Roman"/>
      <w:sz w:val="24"/>
    </w:rPr>
  </w:style>
  <w:style w:styleId="Style_15_ch" w:type="character">
    <w:name w:val="ConsPlusTextList"/>
    <w:link w:val="Style_15"/>
    <w:rPr>
      <w:rFonts w:ascii="Times New Roman" w:hAnsi="Times New Roman"/>
      <w:sz w:val="24"/>
    </w:rPr>
  </w:style>
  <w:style w:styleId="Style_16" w:type="paragraph">
    <w:name w:val="ConsPlusCell"/>
    <w:link w:val="Style_16_ch"/>
    <w:pPr>
      <w:widowControl w:val="0"/>
      <w:ind/>
    </w:pPr>
    <w:rPr>
      <w:rFonts w:ascii="Courier New" w:hAnsi="Courier New"/>
      <w:sz w:val="20"/>
    </w:rPr>
  </w:style>
  <w:style w:styleId="Style_16_ch" w:type="character">
    <w:name w:val="ConsPlusCell"/>
    <w:link w:val="Style_16"/>
    <w:rPr>
      <w:rFonts w:ascii="Courier New" w:hAnsi="Courier New"/>
      <w:sz w:val="20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JurTerm"/>
    <w:link w:val="Style_18_ch"/>
    <w:pPr>
      <w:widowControl w:val="0"/>
      <w:ind/>
    </w:pPr>
    <w:rPr>
      <w:rFonts w:ascii="Tahoma" w:hAnsi="Tahoma"/>
      <w:sz w:val="26"/>
    </w:rPr>
  </w:style>
  <w:style w:styleId="Style_18_ch" w:type="character">
    <w:name w:val="ConsPlusJurTerm"/>
    <w:link w:val="Style_18"/>
    <w:rPr>
      <w:rFonts w:ascii="Tahoma" w:hAnsi="Tahoma"/>
      <w:sz w:val="26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ConsPlusTitle"/>
    <w:link w:val="Style_20_ch"/>
    <w:pPr>
      <w:widowControl w:val="0"/>
      <w:ind/>
    </w:pPr>
    <w:rPr>
      <w:rFonts w:ascii="Arial" w:hAnsi="Arial"/>
      <w:b w:val="1"/>
      <w:sz w:val="24"/>
    </w:rPr>
  </w:style>
  <w:style w:styleId="Style_20_ch" w:type="character">
    <w:name w:val="ConsPlusTitle"/>
    <w:link w:val="Style_20"/>
    <w:rPr>
      <w:rFonts w:ascii="Arial" w:hAnsi="Arial"/>
      <w:b w:val="1"/>
      <w:sz w:val="24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ConsPlusTextList"/>
    <w:link w:val="Style_22_ch"/>
    <w:pPr>
      <w:widowControl w:val="0"/>
      <w:ind/>
    </w:pPr>
    <w:rPr>
      <w:rFonts w:ascii="Times New Roman" w:hAnsi="Times New Roman"/>
      <w:sz w:val="24"/>
    </w:rPr>
  </w:style>
  <w:style w:styleId="Style_22_ch" w:type="character">
    <w:name w:val="ConsPlusTextList"/>
    <w:link w:val="Style_22"/>
    <w:rPr>
      <w:rFonts w:ascii="Times New Roman" w:hAnsi="Times New Roman"/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ConsPlusDocList"/>
    <w:link w:val="Style_25_ch"/>
    <w:pPr>
      <w:widowControl w:val="0"/>
      <w:ind/>
    </w:pPr>
    <w:rPr>
      <w:rFonts w:ascii="Tahoma" w:hAnsi="Tahoma"/>
      <w:sz w:val="18"/>
    </w:rPr>
  </w:style>
  <w:style w:styleId="Style_25_ch" w:type="character">
    <w:name w:val="ConsPlusDocList"/>
    <w:link w:val="Style_25"/>
    <w:rPr>
      <w:rFonts w:ascii="Tahoma" w:hAnsi="Tahoma"/>
      <w:sz w:val="18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TitlePage"/>
    <w:link w:val="Style_30_ch"/>
    <w:pPr>
      <w:widowControl w:val="0"/>
      <w:ind/>
    </w:pPr>
    <w:rPr>
      <w:rFonts w:ascii="Tahoma" w:hAnsi="Tahoma"/>
      <w:sz w:val="20"/>
    </w:rPr>
  </w:style>
  <w:style w:styleId="Style_30_ch" w:type="character">
    <w:name w:val="ConsPlusTitlePage"/>
    <w:link w:val="Style_30"/>
    <w:rPr>
      <w:rFonts w:ascii="Tahoma" w:hAnsi="Tahoma"/>
      <w:sz w:val="20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32" w:type="paragraph">
    <w:name w:val="ConsPlusCell"/>
    <w:link w:val="Style_32_ch"/>
    <w:pPr>
      <w:widowControl w:val="0"/>
      <w:ind/>
    </w:pPr>
    <w:rPr>
      <w:rFonts w:ascii="Courier New" w:hAnsi="Courier New"/>
      <w:sz w:val="20"/>
    </w:rPr>
  </w:style>
  <w:style w:styleId="Style_32_ch" w:type="character">
    <w:name w:val="ConsPlusCell"/>
    <w:link w:val="Style_32"/>
    <w:rPr>
      <w:rFonts w:ascii="Courier New" w:hAnsi="Courier New"/>
      <w:sz w:val="20"/>
    </w:rPr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  <w:sz w:val="20"/>
    </w:rPr>
  </w:style>
  <w:style w:styleId="Style_33_ch" w:type="character">
    <w:name w:val="ConsPlusNonformat"/>
    <w:link w:val="Style_33"/>
    <w:rPr>
      <w:rFonts w:ascii="Courier New" w:hAnsi="Courier New"/>
      <w:sz w:val="20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ConsPlusTextList"/>
    <w:link w:val="Style_38_ch"/>
    <w:pPr>
      <w:widowControl w:val="0"/>
      <w:ind/>
    </w:pPr>
    <w:rPr>
      <w:rFonts w:ascii="Times New Roman" w:hAnsi="Times New Roman"/>
      <w:sz w:val="24"/>
    </w:rPr>
  </w:style>
  <w:style w:styleId="Style_38_ch" w:type="character">
    <w:name w:val="ConsPlusTextList"/>
    <w:link w:val="Style_38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2025-03-19T04:31:04Z</dcterms:modified>
</cp:coreProperties>
</file>