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  <w:rPr>
          <w:color w:val="000000"/>
        </w:rPr>
      </w:pPr>
    </w:p>
    <w:p w14:paraId="14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СОБРАНИЕ ДЕПУТАТОВ ТИГИЛЬСКОГО МУНИЦИПАЛЬНОГО ОКРУГА</w:t>
      </w:r>
    </w:p>
    <w:p w14:paraId="15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16000000">
      <w:pPr>
        <w:pStyle w:val="Style_2"/>
        <w:ind/>
        <w:jc w:val="center"/>
        <w:rPr>
          <w:color w:val="000000"/>
        </w:rPr>
      </w:pPr>
    </w:p>
    <w:p w14:paraId="17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РЕШЕНИЕ</w:t>
      </w:r>
    </w:p>
    <w:p w14:paraId="1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от 21 ноября 2024 г. N 25-нп</w:t>
      </w:r>
    </w:p>
    <w:p w14:paraId="19000000">
      <w:pPr>
        <w:pStyle w:val="Style_2"/>
        <w:ind/>
        <w:jc w:val="both"/>
        <w:rPr>
          <w:color w:val="000000"/>
        </w:rPr>
      </w:pPr>
    </w:p>
    <w:p w14:paraId="1A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ОБ УСТАНОВЛЕНИИ И ВВЕДЕНИИ В ДЕЙСТВИЕ ТУРИСТИЧЕСКОГО НАЛОГА</w:t>
      </w:r>
    </w:p>
    <w:p w14:paraId="1B000000">
      <w:pPr>
        <w:pStyle w:val="Style_2"/>
        <w:ind/>
        <w:jc w:val="center"/>
        <w:rPr>
          <w:color w:val="000000"/>
        </w:rPr>
      </w:pPr>
      <w:r>
        <w:rPr>
          <w:color w:val="000000"/>
          <w:sz w:val="24"/>
        </w:rPr>
        <w:t>НА ТЕРРИТОРИИ ТИГИЛЬСКОГО МУНИЦИПАЛЬНОГО ОКРУГА</w:t>
      </w:r>
    </w:p>
    <w:p w14:paraId="1C000000">
      <w:pPr>
        <w:pStyle w:val="Style_1"/>
        <w:ind/>
        <w:jc w:val="both"/>
        <w:rPr>
          <w:color w:val="000000"/>
        </w:rPr>
      </w:pPr>
    </w:p>
    <w:p w14:paraId="1D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Принято</w:t>
      </w:r>
    </w:p>
    <w:p w14:paraId="1E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"https://login.consultant.ru/link/?req=doc&amp;base=RLAW296&amp;n=212244&amp;date=04.03.2025ОпринятииРешенияОб установлении и введении в действие туристического налога на территории Тигильского муниципального округа{КонсультантПлюс}" \o "Решение Собрания депутатов Тигильского муниципального округа Камчатского края от 21.11.2024 N 46-р"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Решением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Собрания депутатов</w:t>
      </w:r>
    </w:p>
    <w:p w14:paraId="1F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Тигильского муниципального округа</w:t>
      </w:r>
    </w:p>
    <w:p w14:paraId="20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Камчатского края</w:t>
      </w:r>
    </w:p>
    <w:p w14:paraId="21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от 21 ноября 2024 года N 46-р</w:t>
      </w:r>
    </w:p>
    <w:p w14:paraId="22000000">
      <w:pPr>
        <w:pStyle w:val="Style_1"/>
        <w:ind/>
        <w:jc w:val="both"/>
        <w:rPr>
          <w:color w:val="000000"/>
        </w:rPr>
      </w:pPr>
    </w:p>
    <w:p w14:paraId="23000000">
      <w:pPr>
        <w:pStyle w:val="Style_1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1. Установить и ввести в действие на территории Тигильского муниципального округа туристический налог с 1 января 2025 года.</w:t>
      </w:r>
    </w:p>
    <w:p w14:paraId="24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2. Установить ставки туристического налога в размере 1 процента от налоговой базы.</w:t>
      </w:r>
    </w:p>
    <w:p w14:paraId="25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3.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"https://login.consultant.ru/link/?req=doc&amp;base=LAW&amp;n=494979&amp;date=04.03.2025&amp;dst=26416&amp;field=134кодексРоссийскойФедерации(частьвторая)от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418.3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Тигильского муниципального округа и включенных в реестр классифицированных средств размещения, предусмотренный Федеральным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"https://login.consultant.ru/link/?req=doc&amp;base=LAW&amp;n=492068&amp;date=04.03.2025ОбосновахтуристскойдеятельностивРоссийскойФедерации------------ Недействующая редакция {КонсультантПлюс}" \o "Федеральный закон от 24.11.1996 N 132-ФЗ (ред. от 30.11.2024)"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законом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от 24 ноября 1996 года N 132-ФЗ "Об основах туристской деятельности в Российской Федерации".</w:t>
      </w:r>
    </w:p>
    <w:p w14:paraId="26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4. Установить налоговые льготы при взимании туристического налога на территории Тигильского муниципального округа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27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5.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категориям физических лиц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"https://login.consultant.ru/link/?req=doc&amp;base=LAW&amp;n=494979&amp;date=04.03.2025&amp;dst=26418&amp;field=134кодексРоссийскойФедерации(частьвторая)от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418.4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"https://login.consultant.ru/link/?req=doc&amp;base=LAW&amp;n=483130&amp;date=04.03.2025кодексРоссийскойФедерации(частьпервая)от 31.07.1998 N 146-ФЗ (ред. от 29.11.2024, с изм. от 21.01.2025) (с изм. и доп., вступ. в силу с 05.02.2025)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кодекса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Российской Федерации.</w:t>
      </w:r>
    </w:p>
    <w:p w14:paraId="28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6. Дополнительные категории физических лиц, стоимость услуг по временному проживанию которых не включается в налоговую базу.</w:t>
      </w:r>
    </w:p>
    <w:p w14:paraId="29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14:paraId="2A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6.1. почетные жители Камчатского края (в т.ч. Тигильского муниципального округа);</w:t>
      </w:r>
    </w:p>
    <w:p w14:paraId="2B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6.2. лица, имеющие на своем иждивении трех и более несовершеннолетних детей;</w:t>
      </w:r>
    </w:p>
    <w:p w14:paraId="2C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6.3. члены семей военнослужащих, принимающих (принимавших) участие в специальной военной операции;</w:t>
      </w:r>
    </w:p>
    <w:p w14:paraId="2D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6.4. лица, имеющие место жительства на территории Камчатского края.</w:t>
      </w:r>
    </w:p>
    <w:p w14:paraId="2E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7.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"https://login.consultant.ru/link/?req=doc&amp;base=LAW&amp;n=494979&amp;date=04.03.2025&amp;dst=26433&amp;field=134кодексРоссийскойФедерации(частьвторая)от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418.6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налоговым периодом по налогу признается квартал.</w:t>
      </w:r>
    </w:p>
    <w:p w14:paraId="2F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8. Порядок исчисления налога осуществляется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"https://login.consultant.ru/link/?req=doc&amp;base=LAW&amp;n=494979&amp;date=04.03.2025&amp;dst=26435&amp;field=134кодексРоссийскойФедерации(частьвторая)от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418.7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30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9.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"https://login.consultant.ru/link/?req=doc&amp;base=LAW&amp;n=494979&amp;date=04.03.2025&amp;dst=26440&amp;field=134кодексРоссийскойФедерации(частьвторая)от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статьей 418.8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 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p w14:paraId="31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 xml:space="preserve">10. Порядок и сроки представления налогоплательщиками налоговой декларации в налоговый орган устанавливается в соответствии со 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"https://login.consultant.ru/link/?req=doc&amp;base=LAW&amp;n=494979&amp;date=04.03.2025&amp;dst=26442&amp;field=134кодексРоссийскойФедерации(частьвторая)от 05.08.2000 N 117-ФЗ (ред. от 28.12.2024, с изм. от 21.01.2025) {КонсультантПлюс}" \o "Налоговый"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ст. 418.9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Налогового кодекса Российской Федерации.</w:t>
      </w:r>
    </w:p>
    <w:p w14:paraId="32000000">
      <w:pPr>
        <w:pStyle w:val="Style_1"/>
        <w:spacing w:before="240"/>
        <w:ind w:firstLine="540" w:left="0"/>
        <w:jc w:val="both"/>
        <w:rPr>
          <w:color w:val="000000"/>
        </w:rPr>
      </w:pPr>
      <w:r>
        <w:rPr>
          <w:color w:val="000000"/>
          <w:sz w:val="24"/>
        </w:rPr>
        <w:t>11.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33000000">
      <w:pPr>
        <w:pStyle w:val="Style_1"/>
        <w:ind/>
        <w:jc w:val="both"/>
        <w:rPr>
          <w:color w:val="000000"/>
        </w:rPr>
      </w:pPr>
    </w:p>
    <w:p w14:paraId="34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Врип главы</w:t>
      </w:r>
    </w:p>
    <w:p w14:paraId="35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муниципального образования</w:t>
      </w:r>
    </w:p>
    <w:p w14:paraId="36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"Тигильский муниципальный район"</w:t>
      </w:r>
    </w:p>
    <w:p w14:paraId="37000000">
      <w:pPr>
        <w:pStyle w:val="Style_1"/>
        <w:ind/>
        <w:jc w:val="right"/>
        <w:rPr>
          <w:color w:val="000000"/>
        </w:rPr>
      </w:pPr>
      <w:r>
        <w:rPr>
          <w:color w:val="000000"/>
          <w:sz w:val="24"/>
        </w:rPr>
        <w:t>З.З.КОСТИНА</w:t>
      </w:r>
    </w:p>
    <w:p w14:paraId="38000000">
      <w:pPr>
        <w:pStyle w:val="Style_1"/>
        <w:ind/>
        <w:jc w:val="both"/>
        <w:rPr>
          <w:color w:val="000000"/>
        </w:rPr>
      </w:pPr>
    </w:p>
    <w:p w14:paraId="39000000">
      <w:pPr>
        <w:pStyle w:val="Style_1"/>
        <w:ind/>
        <w:jc w:val="both"/>
        <w:rPr>
          <w:color w:val="000000"/>
        </w:rPr>
      </w:pPr>
    </w:p>
    <w:p w14:paraId="3A000000">
      <w:pPr>
        <w:pStyle w:val="Style_1"/>
        <w:spacing w:after="100" w:before="100"/>
        <w:ind/>
        <w:jc w:val="both"/>
        <w:rPr>
          <w:color w:val="000000"/>
          <w:sz w:val="2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  <w:gridCol w:w="1"/>
    </w:tblGrid>
    <w:tr>
      <w:trPr>
        <w:trHeight w:hRule="exact" w:val="166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Решение Собрания депутатов Тигильского муниципального округа Камчатского края от 21.11.2024 N 25-нп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 установлении и в...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1"/>
      <w:gridCol w:w="1"/>
    </w:tblGrid>
    <w:tr>
      <w:trPr>
        <w:trHeight w:hRule="exact" w:val="1683"/>
      </w:trPr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drawing>
              <wp:inline>
                <wp:extent cx="1910715" cy="445769"/>
                <wp:effectExtent b="0" l="0" r="0" t="0"/>
                <wp:docPr hidden="false" id="2" name="Picture 2"/>
                <a:graphic>
                  <a:graphicData uri="http://schemas.openxmlformats.org/drawingml/2006/picture">
                    <pic:pic>
                      <pic:nvPicPr>
                        <pic:cNvPr hidden="false" id="1" name="Picture 1"/>
                        <pic:cNvPicPr preferRelativeResize="true"/>
                      </pic:nvPicPr>
                      <pic:blipFill>
                        <a:blip r:embed="rId1"/>
                        <a:srcRect b="0" l="0" r="0" t="0"/>
                        <a:stretch/>
                      </pic:blipFill>
                      <pic:spPr>
                        <a:xfrm flipH="false" flipV="false" rot="0">
                          <a:ext cx="1910715" cy="445769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Решение Собрания депутатов Тигильского муниципального округа Камчатского края от 21.11.2024 N 25-нп "Об установлении и в...</w:t>
          </w:r>
        </w:p>
      </w:tc>
      <w:tc>
        <w:tcPr>
          <w:tcW w:type="dxa" w:w="1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04.03.2025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8" w:type="paragraph">
    <w:name w:val="heading 3"/>
    <w:next w:val="Style_4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onsPlusDocList"/>
    <w:link w:val="Style_9_ch"/>
    <w:pPr>
      <w:widowControl w:val="0"/>
      <w:ind/>
    </w:pPr>
    <w:rPr>
      <w:rFonts w:ascii="Tahoma" w:hAnsi="Tahoma"/>
      <w:sz w:val="18"/>
    </w:rPr>
  </w:style>
  <w:style w:styleId="Style_9_ch" w:type="character">
    <w:name w:val="ConsPlusDocList"/>
    <w:link w:val="Style_9"/>
    <w:rPr>
      <w:rFonts w:ascii="Tahoma" w:hAnsi="Tahoma"/>
      <w:sz w:val="18"/>
    </w:rPr>
  </w:style>
  <w:style w:styleId="Style_10" w:type="paragraph">
    <w:name w:val="ConsPlusJurTerm"/>
    <w:link w:val="Style_10_ch"/>
    <w:pPr>
      <w:widowControl w:val="0"/>
      <w:ind/>
    </w:pPr>
    <w:rPr>
      <w:rFonts w:ascii="Tahoma" w:hAnsi="Tahoma"/>
      <w:sz w:val="26"/>
    </w:rPr>
  </w:style>
  <w:style w:styleId="Style_10_ch" w:type="character">
    <w:name w:val="ConsPlusJurTerm"/>
    <w:link w:val="Style_10"/>
    <w:rPr>
      <w:rFonts w:ascii="Tahoma" w:hAnsi="Tahoma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sz w:val="20"/>
    </w:rPr>
  </w:style>
  <w:style w:styleId="Style_13_ch" w:type="character">
    <w:name w:val="ConsPlusTitlePage"/>
    <w:link w:val="Style_13"/>
    <w:rPr>
      <w:rFonts w:ascii="Tahoma" w:hAnsi="Tahoma"/>
      <w:sz w:val="20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sz w:val="24"/>
    </w:rPr>
  </w:style>
  <w:style w:styleId="Style_20_ch" w:type="character">
    <w:name w:val="ConsPlusTextList"/>
    <w:link w:val="Style_20"/>
    <w:rPr>
      <w:rFonts w:ascii="Times New Roman" w:hAnsi="Times New Roman"/>
      <w:sz w:val="24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Cell"/>
    <w:link w:val="Style_22_ch"/>
    <w:pPr>
      <w:widowControl w:val="0"/>
      <w:ind/>
    </w:pPr>
    <w:rPr>
      <w:rFonts w:ascii="Courier New" w:hAnsi="Courier New"/>
      <w:sz w:val="20"/>
    </w:rPr>
  </w:style>
  <w:style w:styleId="Style_22_ch" w:type="character">
    <w:name w:val="ConsPlusCell"/>
    <w:link w:val="Style_22"/>
    <w:rPr>
      <w:rFonts w:ascii="Courier New" w:hAnsi="Courier New"/>
      <w:sz w:val="20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TextList"/>
    <w:link w:val="Style_24_ch"/>
    <w:pPr>
      <w:widowControl w:val="0"/>
      <w:ind/>
    </w:pPr>
    <w:rPr>
      <w:rFonts w:ascii="Times New Roman" w:hAnsi="Times New Roman"/>
      <w:sz w:val="24"/>
    </w:rPr>
  </w:style>
  <w:style w:styleId="Style_24_ch" w:type="character">
    <w:name w:val="ConsPlusTextList"/>
    <w:link w:val="Style_24"/>
    <w:rPr>
      <w:rFonts w:ascii="Times New Roman" w:hAnsi="Times New Roman"/>
      <w:sz w:val="24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ConsPlusNonformat"/>
    <w:link w:val="Style_30_ch"/>
    <w:pPr>
      <w:widowControl w:val="0"/>
      <w:ind/>
    </w:pPr>
    <w:rPr>
      <w:rFonts w:ascii="Courier New" w:hAnsi="Courier New"/>
      <w:sz w:val="20"/>
    </w:rPr>
  </w:style>
  <w:style w:styleId="Style_30_ch" w:type="character">
    <w:name w:val="ConsPlusNonformat"/>
    <w:link w:val="Style_30"/>
    <w:rPr>
      <w:rFonts w:ascii="Courier New" w:hAnsi="Courier New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_rels/header3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2025-03-19T04:31:35Z</dcterms:modified>
</cp:coreProperties>
</file>