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МИНИСТЕРСТВО ФИНАНСОВ РОССИЙСКОЙ ФЕДЕРАЦИИ</w:t>
      </w:r>
    </w:p>
    <w:p w14:paraId="0D000000">
      <w:pPr>
        <w:pStyle w:val="Style_1"/>
        <w:ind/>
        <w:jc w:val="center"/>
        <w:rPr>
          <w:rFonts w:ascii="Times New Roman" w:hAnsi="Times New Roman"/>
          <w:color w:val="000000"/>
          <w:sz w:val="14"/>
        </w:rPr>
      </w:pPr>
    </w:p>
    <w:p w14:paraId="0E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ФЕДЕРАЛЬНАЯ НАЛОГОВАЯ СЛУЖБА</w:t>
      </w:r>
    </w:p>
    <w:p w14:paraId="0F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14"/>
        </w:rPr>
      </w:pPr>
    </w:p>
    <w:p w14:paraId="10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ПИСЬМО</w:t>
      </w:r>
    </w:p>
    <w:p w14:paraId="11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12 марта 2025 г. N СД-4-3/2733@</w:t>
      </w:r>
    </w:p>
    <w:p w14:paraId="12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14"/>
        </w:rPr>
      </w:pPr>
    </w:p>
    <w:p w14:paraId="13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ОБ ИСЧИСЛЕНИИ</w:t>
      </w:r>
    </w:p>
    <w:p w14:paraId="14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ТУРИСТИЧЕСКОГО НАЛОГА В САНАТОРНО-КУРОРТНЫХ ОРГАНИЗАЦИЯХ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color w:val="000000"/>
          <w:sz w:val="16"/>
        </w:rPr>
      </w:pPr>
    </w:p>
    <w:p w14:paraId="16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Федеральная налоговая служба в целях реализации положений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"https://login.consultant.ru/link/?req=doc&amp;base=LAW&amp;n=494979&amp;date=21.03.2025&amp;dst=26407&amp;field=134"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главы 33.1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(далее - Кодекс) по вопросу исчисления туристического налога при полной, либо частичной оплате услуги по предоставлению мест для временного проживания (далее - услуга по временному проживанию) в санаторно-курортных организациях, в том числе при оказании услуги по временному проживанию льготной категории граждан в санаторно-курортных организациях, сообщает следующее.</w:t>
      </w:r>
    </w:p>
    <w:p w14:paraId="17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"https://login.consultant.ru/link/?req=doc&amp;base=LAW&amp;n=494979&amp;date=21.03.2025&amp;dst=26420&amp;field=134"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2 статьи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Кодекса в налоговую базу не включается стоимость услуги по временному проживанию отдельных категорий физических лиц при условии предоставления налогоплательщику документов, подтверждающих соответствующий статус физического лица.</w:t>
      </w:r>
    </w:p>
    <w:p w14:paraId="18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"https://login.consultant.ru/link/?req=doc&amp;base=LAW&amp;n=494979&amp;date=21.03.2025&amp;dst=26436&amp;field=134"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пункту 1 статьи 418.7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Кодекса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19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1A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При этом 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"https://login.consultant.ru/link/?req=doc&amp;base=LAW&amp;n=494979&amp;date=21.03.2025&amp;dst=27284&amp;field=134"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абзацу четвертому пункта 1 статьи 418.7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Кодекса налогоплательщики, оказывающие услуги по временному проживанию в составе услуг по санаторно-курортному лечению, исчисляют налог в отношении таких услуг в размере минимального налога. При этом минимальный налог не исчисляется в отношении услуг по временному проживанию в составе услуг по санаторно-курортному лечению, предоставляемых при наличии медицинских показаний, оплата которых осуществляется в рамках государственных заданий за счет бюджетных ассигнований федерального бюджета, государственных внебюджетных фондов, бюджетов субъектов Российской Федерации, местных бюджетов.</w:t>
      </w:r>
    </w:p>
    <w:p w14:paraId="1B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Учитывая, что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"https://login.consultant.ru/link/?req=doc&amp;base=LAW&amp;n=494979&amp;date=21.03.2025&amp;dst=26420&amp;field=134"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2 статьи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Кодекса установлено, что стоимость услуг по временному проживанию, оказываемых отдельным категориям физических лиц, не включается в налоговую базу по туристическому налогу, то необходимость уплаты туристического налога, в том числе в размере минимального налога, в отношении стоимости услуг по временному проживанию в составе услуг по санаторно-курортному лечению, оказываемых таким физическим лицам, не возникает в связи с отсутствием налоговой базы.</w:t>
      </w:r>
    </w:p>
    <w:p w14:paraId="1C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В связи с тем, что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"https://login.consultant.ru/link/?req=doc&amp;base=LAW&amp;n=494979&amp;date=21.03.2025&amp;dst=26435&amp;field=134"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статья 418.7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Кодекса не содержит положений о необходимости осуществления полной оплаты услуги по временному проживанию в рамках государственных заданий за счет бюджетных ассигнований федерального бюджета, государственных внебюджетных фондов, бюджетов субъектов Российской Федерации, местных бюджетов, то вне зависимости от полной, либо частичной оплаты таких услуг в рамках государственных заданий, необходимость уплаты минимального налога в отношении указанных услуг по временному проживанию в санаторно-курортных организациях не возникает.</w:t>
      </w:r>
    </w:p>
    <w:p w14:paraId="1D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Указанная позиция согласована Минфином России письмом от 06.03.2025 N 03-05-04-06/21779.</w:t>
      </w:r>
    </w:p>
    <w:p w14:paraId="1E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Управлениям ФНС России по субъектам Российской Федерации поручается довести данное письмо до нижестоящих налоговых органов.</w:t>
      </w:r>
    </w:p>
    <w:p w14:paraId="1F000000">
      <w:pPr>
        <w:pStyle w:val="Style_2"/>
        <w:spacing w:before="0"/>
        <w:ind w:firstLine="540" w:left="0"/>
        <w:jc w:val="both"/>
        <w:rPr>
          <w:rFonts w:ascii="Times New Roman" w:hAnsi="Times New Roman"/>
          <w:color w:val="000000"/>
          <w:sz w:val="16"/>
        </w:rPr>
      </w:pPr>
    </w:p>
    <w:p w14:paraId="20000000">
      <w:pPr>
        <w:pStyle w:val="Style_2"/>
        <w:spacing w:before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Действительный</w:t>
      </w:r>
    </w:p>
    <w:p w14:paraId="21000000">
      <w:pPr>
        <w:pStyle w:val="Style_2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государственный советник</w:t>
      </w:r>
    </w:p>
    <w:p w14:paraId="22000000">
      <w:pPr>
        <w:pStyle w:val="Style_2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Российской Федерации</w:t>
      </w:r>
    </w:p>
    <w:p w14:paraId="23000000">
      <w:pPr>
        <w:pStyle w:val="Style_2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 класса</w:t>
      </w:r>
    </w:p>
    <w:p w14:paraId="24000000">
      <w:pPr>
        <w:pStyle w:val="Style_2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Д.С.САТИН</w:t>
      </w:r>
    </w:p>
    <w:p w14:paraId="25000000">
      <w:pPr>
        <w:pStyle w:val="Style_2"/>
        <w:spacing w:after="100" w:before="100"/>
        <w:ind/>
        <w:jc w:val="both"/>
        <w:rPr>
          <w:rFonts w:ascii="Times New Roman" w:hAnsi="Times New Roman"/>
          <w:color w:val="000000"/>
          <w:sz w:val="2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48" w:orient="portrait" w:w="11908"/>
      <w:pgMar w:bottom="567" w:footer="0" w:gutter="0" w:header="0" w:left="1020" w:right="51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4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5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7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rPr>
        <w:sz w:val="2"/>
      </w:rPr>
    </w:pPr>
  </w:p>
  <w:p w14:paraId="0B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</w:p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rPr>
        <w:sz w:val="2"/>
      </w:rPr>
    </w:pPr>
  </w:p>
  <w:p w14:paraId="09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default="1" w:styleId="Style_2_ch" w:type="character">
    <w:name w:val="ConsPlusNormal"/>
    <w:link w:val="Style_2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DocList"/>
    <w:link w:val="Style_6_ch"/>
    <w:pPr>
      <w:widowControl w:val="0"/>
      <w:ind/>
    </w:pPr>
    <w:rPr>
      <w:rFonts w:ascii="Tahoma" w:hAnsi="Tahoma"/>
      <w:sz w:val="18"/>
    </w:rPr>
  </w:style>
  <w:style w:styleId="Style_6_ch" w:type="character">
    <w:name w:val="ConsPlusDocList"/>
    <w:link w:val="Style_6"/>
    <w:rPr>
      <w:rFonts w:ascii="Tahoma" w:hAnsi="Tahoma"/>
      <w:sz w:val="18"/>
    </w:rPr>
  </w:style>
  <w:style w:styleId="Style_7" w:type="paragraph">
    <w:name w:val="ConsPlusTextList"/>
    <w:link w:val="Style_7_ch"/>
    <w:pPr>
      <w:widowControl w:val="0"/>
      <w:ind/>
    </w:pPr>
    <w:rPr>
      <w:rFonts w:ascii="Times New Roman" w:hAnsi="Times New Roman"/>
      <w:sz w:val="24"/>
    </w:rPr>
  </w:style>
  <w:style w:styleId="Style_7_ch" w:type="character">
    <w:name w:val="ConsPlusTextList"/>
    <w:link w:val="Style_7"/>
    <w:rPr>
      <w:rFonts w:ascii="Times New Roman" w:hAnsi="Times New Roman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sz w:val="26"/>
    </w:rPr>
  </w:style>
  <w:style w:styleId="Style_11_ch" w:type="character">
    <w:name w:val="ConsPlusJurTerm"/>
    <w:link w:val="Style_11"/>
    <w:rPr>
      <w:rFonts w:ascii="Tahoma" w:hAnsi="Tahoma"/>
      <w:sz w:val="26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  <w:sz w:val="24"/>
    </w:rPr>
  </w:style>
  <w:style w:styleId="Style_1_ch" w:type="character">
    <w:name w:val="ConsPlusTitle"/>
    <w:link w:val="Style_1"/>
    <w:rPr>
      <w:rFonts w:ascii="Arial" w:hAnsi="Arial"/>
      <w:b w:val="1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sz w:val="24"/>
    </w:rPr>
  </w:style>
  <w:style w:styleId="Style_16_ch" w:type="character">
    <w:name w:val="ConsPlusTextList"/>
    <w:link w:val="Style_16"/>
    <w:rPr>
      <w:rFonts w:ascii="Times New Roman" w:hAnsi="Times New Roman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/>
    </w:pPr>
    <w:rPr>
      <w:rFonts w:ascii="Courier New" w:hAnsi="Courier New"/>
      <w:sz w:val="20"/>
    </w:rPr>
  </w:style>
  <w:style w:styleId="Style_23_ch" w:type="character">
    <w:name w:val="ConsPlusCell"/>
    <w:link w:val="Style_23"/>
    <w:rPr>
      <w:rFonts w:ascii="Courier New" w:hAnsi="Courier New"/>
      <w:sz w:val="20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ConsPlusTitlePage"/>
    <w:link w:val="Style_29_ch"/>
    <w:pPr>
      <w:widowControl w:val="0"/>
      <w:ind/>
    </w:pPr>
    <w:rPr>
      <w:rFonts w:ascii="Tahoma" w:hAnsi="Tahoma"/>
      <w:sz w:val="20"/>
    </w:rPr>
  </w:style>
  <w:style w:styleId="Style_29_ch" w:type="character">
    <w:name w:val="ConsPlusTitlePage"/>
    <w:link w:val="Style_29"/>
    <w:rPr>
      <w:rFonts w:ascii="Tahoma" w:hAnsi="Tahoma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2025-03-21T01:10:02Z</dcterms:modified>
</cp:coreProperties>
</file>