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</w:rPr>
      </w:pPr>
    </w:p>
    <w:p w14:paraId="14000000">
      <w:pPr>
        <w:pStyle w:val="Style_1"/>
        <w:spacing w:after="0" w:before="0"/>
        <w:ind/>
        <w:jc w:val="right"/>
        <w:rPr>
          <w:rFonts w:ascii="Times New Roman" w:hAnsi="Times New Roman"/>
          <w:color w:val="000000"/>
        </w:rPr>
      </w:pPr>
    </w:p>
    <w:p w14:paraId="15000000">
      <w:pPr>
        <w:pStyle w:val="Style_2"/>
        <w:spacing w:after="0"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МИНИСТЕРСТВО ФИНАНСОВ РОССИЙСКОЙ ФЕДЕРАЦИИ</w:t>
      </w:r>
    </w:p>
    <w:p w14:paraId="16000000">
      <w:pPr>
        <w:pStyle w:val="Style_2"/>
        <w:spacing w:after="0" w:before="0"/>
        <w:ind/>
        <w:jc w:val="center"/>
        <w:rPr>
          <w:rFonts w:ascii="Times New Roman" w:hAnsi="Times New Roman"/>
          <w:color w:val="000000"/>
        </w:rPr>
      </w:pPr>
    </w:p>
    <w:p w14:paraId="17000000">
      <w:pPr>
        <w:pStyle w:val="Style_2"/>
        <w:spacing w:after="0" w:before="0"/>
        <w:ind/>
        <w:jc w:val="center"/>
        <w:rPr>
          <w:rFonts w:ascii="Times New Roman" w:hAnsi="Times New Roman"/>
          <w:color w:val="000000"/>
        </w:rPr>
      </w:pPr>
      <w:bookmarkStart w:id="1" w:name="P28"/>
      <w:bookmarkEnd w:id="1"/>
      <w:r>
        <w:rPr>
          <w:rFonts w:ascii="Times New Roman" w:hAnsi="Times New Roman"/>
          <w:color w:val="000000"/>
          <w:sz w:val="24"/>
        </w:rPr>
        <w:t>ПИСЬМО</w:t>
      </w:r>
    </w:p>
    <w:p w14:paraId="18000000">
      <w:pPr>
        <w:pStyle w:val="Style_2"/>
        <w:spacing w:after="0"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29 ноября 2024 г. N 03-05-08/119737</w:t>
      </w:r>
    </w:p>
    <w:p w14:paraId="19000000">
      <w:pPr>
        <w:pStyle w:val="Style_1"/>
        <w:spacing w:after="0" w:before="0"/>
        <w:ind w:firstLine="540" w:left="0"/>
        <w:jc w:val="both"/>
        <w:rPr>
          <w:rFonts w:ascii="Times New Roman" w:hAnsi="Times New Roman"/>
          <w:color w:val="000000"/>
        </w:rPr>
      </w:pPr>
    </w:p>
    <w:p w14:paraId="1A000000">
      <w:pPr>
        <w:pStyle w:val="Style_1"/>
        <w:spacing w:after="0"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 Департаменте налоговой политики рассмотрено письмо по вопросу об установлении дифференцированных налоговых ставок с учетом сезонности по туристическому налогу и сообщается следующее.</w:t>
      </w:r>
    </w:p>
    <w:p w14:paraId="1B000000">
      <w:pPr>
        <w:pStyle w:val="Style_1"/>
        <w:spacing w:after="0"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"https://login.consultant.ru/link/?req=doc&amp;base=LAW&amp;n=494979&amp;date=21.03.2025&amp;dst=26431&amp;field=134"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пунктом 1 статьи 418.5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 в редакции Федерального закона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Налоговый кодекс) налоговые ставки по туристическому налогу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 в размерах, не превышающих в 2025 году 1 процента, в 2026 году - 2 процентов, в 2027 году - 3 процентов, в 2028 году - 4 процентов, начиная с 2029 года - 5 процентов от налоговой базы.</w:t>
      </w:r>
    </w:p>
    <w:p w14:paraId="1C000000">
      <w:pPr>
        <w:pStyle w:val="Style_1"/>
        <w:spacing w:after="0"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Согласно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"https://login.consultant.ru/link/?req=doc&amp;base=LAW&amp;n=494979&amp;date=21.03.2025&amp;dst=26432&amp;field=134"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пункту 2 статьи 418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налоговые ставки по туристическому налогу могут быть дифференцированы с учетом сезонности и (или) категории средства размещения.</w:t>
      </w:r>
    </w:p>
    <w:p w14:paraId="1D000000">
      <w:pPr>
        <w:pStyle w:val="Style_1"/>
        <w:spacing w:after="0"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Между тем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"https://login.consultant.ru/link/?req=doc&amp;base=LAW&amp;n=494979&amp;date=21.03.2025&amp;dst=26432&amp;field=134"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пунктом 2 статьи 418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не конкретизированы периоды, применительно к которым могут быть дифференцированы налоговые ставки по туристическому налогу с учетом сезонности, в частности, с учетом особенности осуществления туристской деятельности, связанной с природными, климатическими условиями и со временем года, а также не предусмотрено ограничение по установлению дифференцированных налоговых ставок применительно к периодам, составляющим налоговый период по туристическому налогу.</w:t>
      </w:r>
    </w:p>
    <w:p w14:paraId="1E000000">
      <w:pPr>
        <w:pStyle w:val="Style_1"/>
        <w:spacing w:after="0"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Налоговым периодом по туристическому налогу признается квартал (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"https://login.consultant.ru/link/?req=doc&amp;base=LAW&amp;n=494979&amp;date=21.03.2025&amp;dst=26433&amp;field=134"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статья 418.6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кодекса).</w:t>
      </w:r>
    </w:p>
    <w:p w14:paraId="1F000000">
      <w:pPr>
        <w:pStyle w:val="Style_1"/>
        <w:spacing w:after="0"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"https://login.consultant.ru/link/?req=doc&amp;base=LAW&amp;n=483130&amp;date=21.03.2025&amp;dst=204&amp;field=134" \o ""Налоговый кодекс Российской Федерации (часть первая)" от 31.07.1998 N 146-ФЗ (ред. от 29.11.2024, с изм. от 21.01.2025) (с изм. и доп., вступ. в силу с 05.02.2025)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пунктом 4 статьи 6.1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квартал считается равным трем календарным месяцам, отсчет кварталов ведется с начала календарного года.</w:t>
      </w:r>
    </w:p>
    <w:p w14:paraId="20000000">
      <w:pPr>
        <w:pStyle w:val="Style_1"/>
        <w:spacing w:after="0" w:before="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Учитывая изложенное, полагаем, что представительными органами муниципальных образований (законодательными органами городов федерального значения Москвы, Санкт-Петербурга и Севастополя, представительным органом федеральной территории "Сириус") могут быть установлены дифференцированные налоговые ставки по туристическому налогу с учетом сезонности применительно к календарным месяцам, составляющим соответствующие налоговые периоды.</w:t>
      </w:r>
    </w:p>
    <w:p w14:paraId="21000000">
      <w:pPr>
        <w:pStyle w:val="Style_1"/>
        <w:spacing w:after="0" w:before="0"/>
        <w:ind w:firstLine="540" w:left="0"/>
        <w:jc w:val="both"/>
        <w:rPr>
          <w:rFonts w:ascii="Times New Roman" w:hAnsi="Times New Roman"/>
          <w:color w:val="000000"/>
        </w:rPr>
      </w:pPr>
    </w:p>
    <w:p w14:paraId="22000000">
      <w:pPr>
        <w:pStyle w:val="Style_1"/>
        <w:spacing w:after="0" w:before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Директор Департамента</w:t>
      </w:r>
    </w:p>
    <w:p w14:paraId="23000000">
      <w:pPr>
        <w:pStyle w:val="Style_1"/>
        <w:spacing w:after="0" w:before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Д.В.ВОЛКОВ</w:t>
      </w:r>
    </w:p>
    <w:p w14:paraId="24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</w:rPr>
      </w:pPr>
    </w:p>
    <w:p w14:paraId="25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</w:rPr>
      </w:pPr>
    </w:p>
    <w:p w14:paraId="26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&lt;Письмо&gt; ФНС России от 11.12.2024 N СД-4-3/14059@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направлении письма Минфина России от 29.11.2024 N 03-05-08/119737"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21.03.2025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&lt;Письмо&gt; ФНС России от 11.12.2024 N СД-4-3/14059@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направлении письма Минфина России от 29.11.2024 N 03-05-08/119737"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21.03.2025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DocList"/>
    <w:link w:val="Style_8_ch"/>
    <w:pPr>
      <w:widowControl w:val="0"/>
      <w:ind/>
    </w:pPr>
    <w:rPr>
      <w:rFonts w:ascii="Tahoma" w:hAnsi="Tahoma"/>
      <w:sz w:val="18"/>
    </w:rPr>
  </w:style>
  <w:style w:styleId="Style_8_ch" w:type="character">
    <w:name w:val="ConsPlusDocList"/>
    <w:link w:val="Style_8"/>
    <w:rPr>
      <w:rFonts w:ascii="Tahoma" w:hAnsi="Tahoma"/>
      <w:sz w:val="18"/>
    </w:rPr>
  </w:style>
  <w:style w:styleId="Style_9" w:type="paragraph">
    <w:name w:val="ConsPlusTitlePage"/>
    <w:link w:val="Style_9_ch"/>
    <w:pPr>
      <w:widowControl w:val="0"/>
      <w:ind/>
    </w:pPr>
    <w:rPr>
      <w:rFonts w:ascii="Tahoma" w:hAnsi="Tahoma"/>
      <w:sz w:val="20"/>
    </w:rPr>
  </w:style>
  <w:style w:styleId="Style_9_ch" w:type="character">
    <w:name w:val="ConsPlusTitlePage"/>
    <w:link w:val="Style_9"/>
    <w:rPr>
      <w:rFonts w:ascii="Tahoma" w:hAnsi="Tahoma"/>
      <w:sz w:val="20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10" w:type="paragraph">
    <w:name w:val="ConsPlusCell"/>
    <w:link w:val="Style_10_ch"/>
    <w:pPr>
      <w:widowControl w:val="0"/>
      <w:ind/>
    </w:pPr>
    <w:rPr>
      <w:rFonts w:ascii="Courier New" w:hAnsi="Courier New"/>
      <w:sz w:val="20"/>
    </w:rPr>
  </w:style>
  <w:style w:styleId="Style_10_ch" w:type="character">
    <w:name w:val="ConsPlusCell"/>
    <w:link w:val="Style_10"/>
    <w:rPr>
      <w:rFonts w:ascii="Courier New" w:hAnsi="Courier New"/>
      <w:sz w:val="20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3" w:type="paragraph">
    <w:name w:val="ConsPlusDocList"/>
    <w:link w:val="Style_13_ch"/>
    <w:pPr>
      <w:widowControl w:val="0"/>
      <w:ind/>
    </w:pPr>
    <w:rPr>
      <w:rFonts w:ascii="Tahoma" w:hAnsi="Tahoma"/>
      <w:sz w:val="18"/>
    </w:rPr>
  </w:style>
  <w:style w:styleId="Style_13_ch" w:type="character">
    <w:name w:val="ConsPlusDocList"/>
    <w:link w:val="Style_13"/>
    <w:rPr>
      <w:rFonts w:ascii="Tahoma" w:hAnsi="Tahoma"/>
      <w:sz w:val="18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  <w:sz w:val="20"/>
    </w:rPr>
  </w:style>
  <w:style w:styleId="Style_14_ch" w:type="character">
    <w:name w:val="ConsPlusNonformat"/>
    <w:link w:val="Style_14"/>
    <w:rPr>
      <w:rFonts w:ascii="Courier New" w:hAnsi="Courier New"/>
      <w:sz w:val="20"/>
    </w:rPr>
  </w:style>
  <w:style w:styleId="Style_15" w:type="paragraph">
    <w:name w:val="ConsPlusTextList"/>
    <w:link w:val="Style_15_ch"/>
    <w:pPr>
      <w:widowControl w:val="0"/>
      <w:ind/>
    </w:pPr>
    <w:rPr>
      <w:rFonts w:ascii="Times New Roman" w:hAnsi="Times New Roman"/>
      <w:sz w:val="24"/>
    </w:rPr>
  </w:style>
  <w:style w:styleId="Style_15_ch" w:type="character">
    <w:name w:val="ConsPlusTextList"/>
    <w:link w:val="Style_15"/>
    <w:rPr>
      <w:rFonts w:ascii="Times New Roman" w:hAnsi="Times New Roman"/>
      <w:sz w:val="24"/>
    </w:rPr>
  </w:style>
  <w:style w:styleId="Style_16" w:type="paragraph">
    <w:name w:val="ConsPlusTextList"/>
    <w:link w:val="Style_16_ch"/>
    <w:pPr>
      <w:widowControl w:val="0"/>
      <w:ind/>
    </w:pPr>
    <w:rPr>
      <w:rFonts w:ascii="Times New Roman" w:hAnsi="Times New Roman"/>
      <w:sz w:val="24"/>
    </w:rPr>
  </w:style>
  <w:style w:styleId="Style_16_ch" w:type="character">
    <w:name w:val="ConsPlusTextList"/>
    <w:link w:val="Style_16"/>
    <w:rPr>
      <w:rFonts w:ascii="Times New Roman" w:hAnsi="Times New Roman"/>
      <w:sz w:val="24"/>
    </w:rPr>
  </w:style>
  <w:style w:styleId="Style_17" w:type="paragraph">
    <w:name w:val="ConsPlusCell"/>
    <w:link w:val="Style_17_ch"/>
    <w:pPr>
      <w:widowControl w:val="0"/>
      <w:ind/>
    </w:pPr>
    <w:rPr>
      <w:rFonts w:ascii="Courier New" w:hAnsi="Courier New"/>
      <w:sz w:val="20"/>
    </w:rPr>
  </w:style>
  <w:style w:styleId="Style_17_ch" w:type="character">
    <w:name w:val="ConsPlusCell"/>
    <w:link w:val="Style_17"/>
    <w:rPr>
      <w:rFonts w:ascii="Courier New" w:hAnsi="Courier New"/>
      <w:sz w:val="20"/>
    </w:rPr>
  </w:style>
  <w:style w:styleId="Style_18" w:type="paragraph">
    <w:name w:val="ConsPlusTextList"/>
    <w:link w:val="Style_18_ch"/>
    <w:pPr>
      <w:widowControl w:val="0"/>
      <w:ind/>
    </w:pPr>
    <w:rPr>
      <w:rFonts w:ascii="Times New Roman" w:hAnsi="Times New Roman"/>
      <w:sz w:val="24"/>
    </w:rPr>
  </w:style>
  <w:style w:styleId="Style_18_ch" w:type="character">
    <w:name w:val="ConsPlusTextList"/>
    <w:link w:val="Style_18"/>
    <w:rPr>
      <w:rFonts w:ascii="Times New Roman" w:hAnsi="Times New Roman"/>
      <w:sz w:val="24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  <w:sz w:val="24"/>
    </w:rPr>
  </w:style>
  <w:style w:styleId="Style_19_ch" w:type="character">
    <w:name w:val="ConsPlusTitle"/>
    <w:link w:val="Style_19"/>
    <w:rPr>
      <w:rFonts w:ascii="Arial" w:hAnsi="Arial"/>
      <w:b w:val="1"/>
      <w:sz w:val="24"/>
    </w:rPr>
  </w:style>
  <w:style w:styleId="Style_20" w:type="paragraph">
    <w:name w:val="ConsPlusJurTerm"/>
    <w:link w:val="Style_20_ch"/>
    <w:pPr>
      <w:widowControl w:val="0"/>
      <w:ind/>
    </w:pPr>
    <w:rPr>
      <w:rFonts w:ascii="Tahoma" w:hAnsi="Tahoma"/>
      <w:sz w:val="26"/>
    </w:rPr>
  </w:style>
  <w:style w:styleId="Style_20_ch" w:type="character">
    <w:name w:val="ConsPlusJurTerm"/>
    <w:link w:val="Style_20"/>
    <w:rPr>
      <w:rFonts w:ascii="Tahoma" w:hAnsi="Tahoma"/>
      <w:sz w:val="26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TitlePage"/>
    <w:link w:val="Style_22_ch"/>
    <w:pPr>
      <w:widowControl w:val="0"/>
      <w:ind/>
    </w:pPr>
    <w:rPr>
      <w:rFonts w:ascii="Tahoma" w:hAnsi="Tahoma"/>
      <w:sz w:val="20"/>
    </w:rPr>
  </w:style>
  <w:style w:styleId="Style_22_ch" w:type="character">
    <w:name w:val="ConsPlusTitlePage"/>
    <w:link w:val="Style_22"/>
    <w:rPr>
      <w:rFonts w:ascii="Tahoma" w:hAnsi="Tahoma"/>
      <w:sz w:val="20"/>
    </w:rPr>
  </w:style>
  <w:style w:styleId="Style_23" w:type="paragraph">
    <w:name w:val="ConsPlusTextList"/>
    <w:link w:val="Style_23_ch"/>
    <w:pPr>
      <w:widowControl w:val="0"/>
      <w:ind/>
    </w:pPr>
    <w:rPr>
      <w:rFonts w:ascii="Times New Roman" w:hAnsi="Times New Roman"/>
      <w:sz w:val="24"/>
    </w:rPr>
  </w:style>
  <w:style w:styleId="Style_23_ch" w:type="character">
    <w:name w:val="ConsPlusTextList"/>
    <w:link w:val="Style_23"/>
    <w:rPr>
      <w:rFonts w:ascii="Times New Roman" w:hAnsi="Times New Roman"/>
      <w:sz w:val="24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4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4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ConsPlusJurTerm"/>
    <w:link w:val="Style_37_ch"/>
    <w:pPr>
      <w:widowControl w:val="0"/>
      <w:ind/>
    </w:pPr>
    <w:rPr>
      <w:rFonts w:ascii="Tahoma" w:hAnsi="Tahoma"/>
      <w:sz w:val="26"/>
    </w:rPr>
  </w:style>
  <w:style w:styleId="Style_37_ch" w:type="character">
    <w:name w:val="ConsPlusJurTerm"/>
    <w:link w:val="Style_37"/>
    <w:rPr>
      <w:rFonts w:ascii="Tahoma" w:hAnsi="Tahoma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2025-03-21T01:35:41Z</dcterms:modified>
</cp:coreProperties>
</file>