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_rels/document.xml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spacing w:lineRule="auto" w:line="240" w:before="0" w:after="160"/>
        <w:contextualSpacing/>
        <w:jc w:val="right"/>
        <w:rPr>
          <w:rFonts w:ascii="Times New Roman" w:hAnsi="Times New Roman"/>
          <w:b/>
          <w:sz w:val="28"/>
        </w:rPr>
      </w:pPr>
      <w:r>
        <w:rPr/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Перечень международных конгрессно-выставочных </w:t>
      </w:r>
    </w:p>
    <w:p>
      <w:pPr>
        <w:pStyle w:val="Normal"/>
        <w:spacing w:lineRule="auto" w:line="240" w:before="0" w:after="160"/>
        <w:contextualSpacing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и презентационных мероприятий исполнительных органов Камчатского края и подведомственных учреждений </w:t>
      </w:r>
      <w:r>
        <w:rPr/>
        <w:br/>
      </w:r>
      <w:r>
        <w:rPr>
          <w:rFonts w:ascii="Times New Roman" w:hAnsi="Times New Roman"/>
          <w:b/>
          <w:sz w:val="28"/>
        </w:rPr>
        <w:t>на 2025 год</w:t>
      </w:r>
    </w:p>
    <w:tbl>
      <w:tblPr>
        <w:tblStyle w:val="Style_3"/>
        <w:tblW w:w="14888" w:type="dxa"/>
        <w:jc w:val="left"/>
        <w:tblInd w:w="-147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50"/>
        <w:gridCol w:w="2104"/>
        <w:gridCol w:w="1237"/>
        <w:gridCol w:w="1054"/>
        <w:gridCol w:w="1797"/>
        <w:gridCol w:w="2637"/>
        <w:gridCol w:w="3414"/>
        <w:gridCol w:w="2093"/>
      </w:tblGrid>
      <w:tr>
        <w:trPr/>
        <w:tc>
          <w:tcPr>
            <w:tcW w:w="550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№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п/п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Мероприятие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Даты мероприятия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Формат участия </w:t>
            </w:r>
          </w:p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Очно/</w:t>
            </w:r>
          </w:p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ВКС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Место проведения мероприятия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Обоснование необходимости </w:t>
              <w:br/>
              <w:t>и цель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 xml:space="preserve">Ожидаемый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(планируемый) результат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Инициатор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b/>
                <w:sz w:val="20"/>
              </w:rPr>
            </w:pPr>
            <w:r>
              <w:rPr>
                <w:rFonts w:ascii="Times New Roman" w:hAnsi="Times New Roman"/>
                <w:b/>
                <w:color w:val="000000"/>
                <w:spacing w:val="0"/>
                <w:kern w:val="0"/>
                <w:sz w:val="20"/>
                <w:szCs w:val="20"/>
              </w:rPr>
              <w:t>(автор предложений)</w:t>
            </w:r>
          </w:p>
        </w:tc>
      </w:tr>
      <w:tr>
        <w:trPr>
          <w:trHeight w:val="330" w:hRule="atLeast"/>
        </w:trPr>
        <w:tc>
          <w:tcPr>
            <w:tcW w:w="550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1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2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3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4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5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6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7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sz w:val="20"/>
              </w:rPr>
            </w:pPr>
            <w:r>
              <w:rPr>
                <w:rFonts w:ascii="Times New Roman" w:hAnsi="Times New Roman"/>
                <w:b w:val="false"/>
                <w:color w:val="000000"/>
                <w:spacing w:val="0"/>
                <w:kern w:val="0"/>
                <w:sz w:val="20"/>
                <w:szCs w:val="20"/>
              </w:rPr>
              <w:t>8</w:t>
            </w:r>
          </w:p>
        </w:tc>
      </w:tr>
      <w:tr>
        <w:trPr>
          <w:trHeight w:val="511" w:hRule="atLeast"/>
        </w:trPr>
        <w:tc>
          <w:tcPr>
            <w:tcW w:w="14886" w:type="dxa"/>
            <w:gridSpan w:val="8"/>
            <w:tcBorders/>
            <w:shd w:themeFill="text2" w:themeFillTint="66" w:val="clear"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1. Участие на уровне Губернатора Камчатского края</w:t>
            </w:r>
          </w:p>
        </w:tc>
      </w:tr>
      <w:tr>
        <w:trPr>
          <w:trHeight w:val="518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Торгово-экономические и инвестиционные форумы</w:t>
            </w:r>
          </w:p>
        </w:tc>
      </w:tr>
      <w:tr>
        <w:trPr>
          <w:trHeight w:val="171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Инвестиционный форум в Камчатском крае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февраль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>г. Петропавловск-Камчатский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инвестиционного, экспортного и туристического потенциала региона, привлечение инвестиций в Камчатский край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Инвестфорум станет площадкой для встречи инвесторов, органов власти, экспертов для демонстрации инвестиционного потенциала региона.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Темы деловой программы Инвестфорума направлены на обсуждение перспектив внедрения регионального инвестиционного стандарта, совершенствование системы регионального инвестиционного законодательства, обеспечения инвесторов инвестиционной инфраструктурой, а также механизмах привлечения инвесторов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АО «Корпорация развития Камчатки»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AIM Congress 2025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7-9 апреля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г. Абу-Даби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(ОАЭ)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инвестиционного, экспортного и туристического потенциала региона, привлечение инвестиций в Камчатский край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торгового и инвестиционного сотрудничества, установление деловых контактов с потенциальными инвесторами 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АО «Корпорация развития Камчатки»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200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3.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Международный экономический форум «Россия – Исламский мир: KazanForum»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май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 xml:space="preserve">г. Казань 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инвестиционного, экспортного и туристического потенциала региона, привлечение инвестиций в Камчатский край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торгового и инвестиционного сотрудничества, установление деловых контактов с потенциальными инвесторами 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4.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XXVIII Петербургский международный экономический форум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18-21 июня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 xml:space="preserve">КВЦ «Экспофорум» </w:t>
              <w:br/>
              <w:t>г. Санкт-Петербург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>Форум является ведущей мировой площадкой для общения представителей деловых кругов и обсуждения ключевых экономических вопросов, стоящих перед Россией, развивающимися рынками и миром в целом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торгового и инвестиционного сотрудничества, установление деловых контактов с потенциальными инвесторами 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5.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X Восточный экономический форум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3-6 сентября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о. Русский </w:t>
              <w:br/>
              <w:t>г. Владивосто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к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Форум направлен на содействие развитию Дальнего Востока, его экономики и инвестиционной активности, а также усиление международного сотрудничества в Азиатско-Тихоокеанском регионе. Цель участия: презентация возможностей и потребностей региона контрагентам в странах Азиатско-Тихоокеанского региона, формирование благоприятного имиджа региона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торгового и инвестиционного сотрудничества со странами АТР, установление деловых контактов с потенциальными инвесторами для совместной реализации инвестиционных проектов в Камчатском крае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478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Туризм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6.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Форума устойчивого развития туризма «Путешествуй!»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12-16 февраля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>г. Петропавловск-Камчатский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Обсуждение актуальных вопросов с участием представителей федеральных и региональных органов власти, отраслевых ассоциаций, туристических компаний, научного сообщества и экспертов в области туризма и индустрии гостеприимства, а также почетных гостей из регионов Дальнего Востока и Арктики и зарубежных стран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Выработка решений по вопросам развития 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 xml:space="preserve">туризма и индустрии гостеприимства, 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увеличение турпотока в Камчатский край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7.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hyperlink r:id="rId2">
              <w:r>
                <w:rPr>
                  <w:rStyle w:val="ListLabel1"/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Международная туристическая выставка Гуанчжоу 2025</w:t>
              </w:r>
            </w:hyperlink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15-17 мая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г. </w:t>
            </w:r>
            <w:hyperlink r:id="rId3">
              <w:r>
                <w:rPr>
                  <w:rStyle w:val="ListLabel1"/>
                  <w:rFonts w:ascii="Times New Roman" w:hAnsi="Times New Roman"/>
                  <w:color w:val="000000"/>
                  <w:spacing w:val="0"/>
                  <w:kern w:val="0"/>
                  <w:sz w:val="20"/>
                  <w:szCs w:val="20"/>
                </w:rPr>
                <w:t>Гуанчжоу</w:t>
              </w:r>
            </w:hyperlink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(КНР)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туристического потенциала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highlight w:val="white"/>
              </w:rPr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Популяризация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Камчатского края,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повышение имиджа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региона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 Привлечение иностранных туристов в Камчатский край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8.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ITB China 2025 – 8-я международная выставка туристического рынка Китая 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27-29 мая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 xml:space="preserve">г. Шанхай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(КНР)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туристического потенциала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highlight w:val="white"/>
              </w:rPr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Популяризация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Камчатского края,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повышение имиджа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региона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 Привлечение иностранных туристов в Камчатский край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24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9.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Пекинская международная туристическая выставка BITE-2025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дата уточняется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z w:val="20"/>
                <w:highlight w:val="white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 xml:space="preserve">г. Пекин </w:t>
              <w:br/>
              <w:t>(КНР)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Продвижение туристического потенциала Камчатского края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Популяризация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Камчатского края,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повышение имиджа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региона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. Привлечение иностранных туристов в Камчатский край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547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Рыбохозяйственный комплекс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 </w:t>
            </w:r>
          </w:p>
        </w:tc>
      </w:tr>
      <w:tr>
        <w:trPr>
          <w:trHeight w:val="2614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10.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VIII Международный рыбопромышленный форум и Выставка рыбной индустрии, морепродуктов и технологий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(Global Fishery Forum &amp; Seafood Expo Russia 2025)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сентябрь (предварительно)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КВЦ «Экспофорум»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Санкт-Петербург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Объединенная выставочная экспозиция рыбохозяйственных предприятий Камчатского края на Выставке рыбной индустрии, морепродуктов и технологий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ведущих рыбодобывающих и рыбоперерабатывающих предприятий рыбохозяйственного комплекса Камчатского края в коллективной экспозиции рыбных продуктов с презентацией продукции собственного производства. Установление взаимовыгодных контактов, расширение торговых и кооперационных связей с другими регионами страны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рыбного хозяйства Камчатского края</w:t>
            </w:r>
          </w:p>
        </w:tc>
      </w:tr>
      <w:tr>
        <w:trPr>
          <w:trHeight w:val="530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Экология</w:t>
            </w:r>
          </w:p>
        </w:tc>
      </w:tr>
      <w:tr>
        <w:trPr>
          <w:trHeight w:val="2614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11.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33333"/>
                <w:spacing w:val="0"/>
                <w:sz w:val="20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20"/>
                <w:szCs w:val="20"/>
              </w:rPr>
              <w:t>Молодёжный 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33333"/>
                <w:spacing w:val="0"/>
                <w:sz w:val="20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20"/>
                <w:szCs w:val="20"/>
              </w:rPr>
              <w:t>экологический 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33333"/>
                <w:spacing w:val="0"/>
                <w:sz w:val="20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20"/>
                <w:szCs w:val="20"/>
              </w:rPr>
              <w:t>форум 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33333"/>
                <w:spacing w:val="0"/>
                <w:sz w:val="20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20"/>
                <w:szCs w:val="20"/>
              </w:rPr>
              <w:t>«Экосистема. 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val="333333"/>
                <w:spacing w:val="0"/>
                <w:sz w:val="20"/>
              </w:rPr>
            </w:pPr>
            <w:r>
              <w:rPr>
                <w:rFonts w:ascii="Times New Roman" w:hAnsi="Times New Roman"/>
                <w:color w:val="333333"/>
                <w:spacing w:val="0"/>
                <w:kern w:val="0"/>
                <w:sz w:val="20"/>
                <w:szCs w:val="20"/>
              </w:rPr>
              <w:t>Заповедный край»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август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b/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  <w:highlight w:val="white"/>
              </w:rPr>
              <w:t>г. Петропавловск-Камчатский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Формирование и консолидация молодежных предложений в сфере экологии для дальнейшего внедрения в общероссийскую практику. Главная тема форума – как сохранить первозданную природу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color w:themeColor="text1" w:val="000000"/>
                <w:spacing w:val="0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Получ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ение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теоретически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х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знани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от ведущих экспертов страны, прове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дение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исследовани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й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, практикум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>ов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 во время посещения природных локаций на территории Камчатского края: обустройство пешеходных маршрутов и эко-троп, создание новых научно-образовательных туров с профессиональными гидами на вулканах Камчатки, высадка леса, отбор проб воды и воздуха.</w:t>
            </w:r>
            <w:r>
              <w:rPr>
                <w:rFonts w:ascii="Times New Roman" w:hAnsi="Times New Roman"/>
                <w:color w:themeColor="text1" w:val="000000"/>
                <w:spacing w:val="0"/>
                <w:kern w:val="0"/>
                <w:sz w:val="20"/>
                <w:szCs w:val="20"/>
              </w:rPr>
              <w:t xml:space="preserve"> Ре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зультатом форума станет большая резолюция с предложениями молодёжи по повышению экологического благополучия страны и её презентация всему экологическому сообществу России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АНО «Камчатский центр реализации молодежных проектов «Экосистема»</w:t>
            </w:r>
          </w:p>
        </w:tc>
      </w:tr>
      <w:tr>
        <w:trPr>
          <w:trHeight w:val="2466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left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12.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 xml:space="preserve">Международный форум по сохранению хищных видов птиц «День сокола» 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сентябрь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г. Владивосток</w:t>
            </w:r>
          </w:p>
        </w:tc>
        <w:tc>
          <w:tcPr>
            <w:tcW w:w="2637" w:type="dxa"/>
            <w:tcBorders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Calibri" w:hAnsi="Calibri" w:asciiTheme="minorAscii" w:hAnsiTheme="minorHAnsi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Форум входит в структуру мероприятий Восточного экономического форума и будет способствовать налаживанию международного сотрудничества в области сохранения биоразнообразия и сохранения хищных видов птиц</w:t>
            </w:r>
          </w:p>
        </w:tc>
        <w:tc>
          <w:tcPr>
            <w:tcW w:w="3414" w:type="dxa"/>
            <w:tcBorders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международного сотрудничества в области сохранения популяции хищных видов птиц, развитие сотрудничества с дружественными странами по данному направлению.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природных ресурсов и экологии Камчатского края</w:t>
            </w:r>
          </w:p>
        </w:tc>
      </w:tr>
      <w:tr>
        <w:trPr>
          <w:trHeight w:val="571" w:hRule="atLeast"/>
        </w:trPr>
        <w:tc>
          <w:tcPr>
            <w:tcW w:w="14886" w:type="dxa"/>
            <w:gridSpan w:val="8"/>
            <w:tcBorders/>
            <w:shd w:themeFill="text2" w:themeFillTint="99" w:val="clear"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3. Участие на уровне руководителя исполнительного органа Камчатского края</w:t>
            </w:r>
          </w:p>
        </w:tc>
      </w:tr>
      <w:tr>
        <w:trPr>
          <w:trHeight w:val="455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Туризм</w:t>
            </w:r>
          </w:p>
        </w:tc>
      </w:tr>
      <w:tr>
        <w:trPr>
          <w:trHeight w:val="369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13.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MITT – Международная туристическая выставка MITT 2025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18-20 марта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МВЦ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«Крокус Экспо»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Москва (Россия)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Развитие экспорта туристических услуг региона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Развитие торгового и инвестиционного сотрудничества, установление деловых контактов с потенциальными инвесторами для совместной реализации инвестиционных проектов в Камчатском крае, презентация туристического потенциала региона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туризма Камчатского края</w:t>
            </w:r>
          </w:p>
        </w:tc>
      </w:tr>
      <w:tr>
        <w:trPr>
          <w:trHeight w:val="480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Культур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а</w:t>
            </w:r>
          </w:p>
        </w:tc>
      </w:tr>
      <w:tr>
        <w:trPr>
          <w:trHeight w:val="1207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14.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XX юбилейная международная выставка – ярмарка «Сокровища Севера. Мастера и художники России»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28 апреля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-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 </w:t>
              <w:br/>
              <w:t xml:space="preserve">2 мая 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ВДНХ,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Москва (Россия)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Экспозиция Камчатского края.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Уникальная культура Камчатки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Популяризация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Камчатского края,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повышение имиджа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pacing w:val="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региона. Участие самобытных мастеров из отдаленных сел Камчатского края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культуры Камчатского края</w:t>
            </w:r>
          </w:p>
        </w:tc>
      </w:tr>
      <w:tr>
        <w:trPr>
          <w:trHeight w:val="450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 xml:space="preserve">Спорт </w:t>
            </w:r>
          </w:p>
        </w:tc>
      </w:tr>
      <w:tr>
        <w:trPr>
          <w:trHeight w:val="418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15.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Международный  форум «Россия – спортивная держава»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октябрь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г. Самара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(Россия)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color w:val="000000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Международный спортивный форум «Россия – спортивная держава» – одно из крупнейших мероприятий спортивной отрасли страны.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Самая авторитетная площадка в России для обсуждения ключевых тем в области физической культуры, профессионального и массового спорта 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Обсуждения проблем развития физической культуры и спорта, обмена опытом и налаживания партнерских отношений с коллегами из регионов России и представителями мирового спортивного сообщества, обсуждения значимости  физической культуры и спорта, демонстрации инвестиционной привлекательности спортивной инфраструктуры страны, ее материальных, интеллектуальных, информационных, научно-технических и финансовых ресурсов. Продвижение камчатских видов спорта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спорта Камчатского края</w:t>
            </w:r>
          </w:p>
        </w:tc>
      </w:tr>
      <w:tr>
        <w:trPr>
          <w:trHeight w:val="355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Многоотраслевые мероприятия</w:t>
            </w:r>
          </w:p>
        </w:tc>
      </w:tr>
      <w:tr>
        <w:trPr>
          <w:trHeight w:val="403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16.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Международная научно-практическая конференция</w:t>
              <w:br/>
              <w:t>«Региональные проблемы развития Дальнего Востока и Арктики (Моисеевские чтения)»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декабрь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АНО «КВТЦ», </w:t>
            </w: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br/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Мероприятие проводится в целях развития межрегионального и международного сотрудничества Камчатского края с субъектами Российской Федерации и зарубежными странами по вопросам устойчивого развития экономики северных регионов и рационального использования природных ресурсов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.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Развитие сотрудничества с субъектами Российской Федерации и зарубежными странами, совершенствование системы научных знаний по приоритетным направлениям экономического развития Дальнего Востока и Арктики. Результатом конференции является издание сборника докладов научно-практической конференции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экономического развития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  <w:shd w:fill="FFD821" w:val="clear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  <w:shd w:fill="FFD821" w:val="clear"/>
              </w:rPr>
            </w:r>
          </w:p>
        </w:tc>
      </w:tr>
      <w:tr>
        <w:trPr>
          <w:trHeight w:val="523" w:hRule="atLeast"/>
        </w:trPr>
        <w:tc>
          <w:tcPr>
            <w:tcW w:w="14886" w:type="dxa"/>
            <w:gridSpan w:val="8"/>
            <w:tcBorders/>
            <w:shd w:themeFill="text2" w:themeFillTint="99" w:val="clear"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4. Участие на уровне руководителя подведомственного учреждения</w:t>
            </w:r>
          </w:p>
        </w:tc>
      </w:tr>
      <w:tr>
        <w:trPr>
          <w:trHeight w:val="469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ConsPlusTitle1"/>
              <w:widowControl/>
              <w:spacing w:before="0" w:after="0"/>
              <w:ind w:hanging="0" w:left="0" w:right="0"/>
              <w:jc w:val="center"/>
              <w:rPr>
                <w:rFonts w:ascii="Times New Roman" w:hAnsi="Times New Roman"/>
                <w:b w:val="false"/>
                <w:i/>
                <w:i/>
                <w:sz w:val="20"/>
              </w:rPr>
            </w:pPr>
            <w:r>
              <w:rPr>
                <w:rFonts w:ascii="Times New Roman" w:hAnsi="Times New Roman"/>
                <w:b w:val="false"/>
                <w:i/>
                <w:color w:val="000000"/>
                <w:spacing w:val="0"/>
                <w:kern w:val="0"/>
                <w:sz w:val="20"/>
                <w:szCs w:val="20"/>
              </w:rPr>
              <w:t>Рыбохозяйственный комплекс</w:t>
            </w:r>
          </w:p>
        </w:tc>
      </w:tr>
      <w:tr>
        <w:trPr/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17.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Выставка (конкурс) «Всероссийская марка (III тысячелетие). Знак качества XXI века»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с января по декабрь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г. Моск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ва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Повышение конкурентоспособности рыбной продукции внутри Камчатского края и за его пределами. Установление взаимовыгодных контактов, расширение торговых и кооперационных связей с другими регионами страны, а также странами СНГ и дальнего зарубежья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Участие предприятий рыбохозяйственного комплекса Камчатского края в конкурсе качества продукции, паспортизации лучших отраслевых предприятий, а также региональной коллективной экспозиции рыбных продуктов. По итогам участия: присвоение рыбной продукции камчатских производителей Знаков качества российских товаров, услуг и технологий – «Всероссийская Марка (III тысячелетие). Знак качества XXI века», а также вручение предприятию паспорта «Экологически безопасный продукт» и «Предприятие высокого качества»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sz w:val="20"/>
              </w:rPr>
            </w:pPr>
            <w:r>
              <w:rPr>
                <w:rFonts w:ascii="Times New Roman" w:hAnsi="Times New Roman"/>
                <w:color w:val="000000"/>
                <w:spacing w:val="0"/>
                <w:kern w:val="0"/>
                <w:sz w:val="20"/>
                <w:szCs w:val="20"/>
              </w:rPr>
              <w:t>Министерство рыбного хозяйства Камчатского края</w:t>
            </w:r>
          </w:p>
        </w:tc>
      </w:tr>
      <w:tr>
        <w:trPr>
          <w:trHeight w:val="422" w:hRule="atLeast"/>
        </w:trPr>
        <w:tc>
          <w:tcPr>
            <w:tcW w:w="14886" w:type="dxa"/>
            <w:gridSpan w:val="8"/>
            <w:tcBorders/>
            <w:shd w:themeFill="accent1" w:themeFillTint="30" w:val="clear"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/>
                <w:i/>
                <w:sz w:val="20"/>
              </w:rPr>
            </w:pPr>
            <w:r>
              <w:rPr>
                <w:rFonts w:ascii="Times New Roman" w:hAnsi="Times New Roman"/>
                <w:i/>
                <w:color w:val="000000"/>
                <w:spacing w:val="0"/>
                <w:kern w:val="0"/>
                <w:sz w:val="20"/>
                <w:szCs w:val="20"/>
              </w:rPr>
              <w:t>Образование</w:t>
            </w:r>
          </w:p>
        </w:tc>
      </w:tr>
      <w:tr>
        <w:trPr/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18.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Всероссийская научная конференция с международным участием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Геотермальная вулканология, гидрогеология, геология нефти и газа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(GEOTHERMAL VOLCANOLOGY WORKSHOP 2025)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первая половина сентября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  <w:shd w:fill="FFD821" w:val="clear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  <w:shd w:fill="FFD821" w:val="clear"/>
              </w:rPr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  <w:shd w:fill="FFD821" w:val="clear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 </w:t>
            </w: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Геонаучное и инженерное изучение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гидротермальных систем и геотермальных месторождений является необходимым условием их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эффективного использования для тепло-электрообеспечения и рекреационных целей. Исследования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активных вулканических областей чрезвычайно важны для прогноза извержений вулканов,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гидротермальной и магматической деятельности, прогноза сильных землетрясений, понимания условий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формирования и эксплуатации геотермальных, гидроминеральных, рудных и углеводородных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месторождений сложного строения. Междисциплинарный характер и уникальное место проведения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конференции и полевых экскурсий нацелены на формирование прорывных идей, развитие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международного научно-технического сотрудничества и многообразных приложений в науках о Земле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Обмен опытом и мнениями с ведущими учеными в сферах геотермальной вулканологии, гидрогеологии. Обсуждение тем докладов, выработка общих концепций, позиций и подходов к решению тех или иных проблем и задач, обозначенных в докладах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  <w:shd w:fill="FFD821" w:val="clear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  <w:shd w:fill="FFD821" w:val="clear"/>
              </w:rPr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Федеральное государственное бюджетное учреждение науки Институт вулканологии и сейсмологии Дальневосточного отделения Российской академии наук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/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19.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«Мероприятие-спутник IV Конгресс молодых ученых»</w:t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первая половина сентября 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 (Россия)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Форум посвящён проблемам и перспективам научных исследований в регионе. Более 100 участников – представители науки, бизнеса, органов исполнительной власти региона, будут работать над решением практических задач по снижению негативного влияния природных последствий для жизнедеятельности полуострова Камчатка.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Мероприятия-спутники в рамках Конгресса проводятся ежегодно с целью вовлечения российского научного сообщества в решение важнейших задач регионов России. В ходе мероприятий-спутников эксперты разрабатывают практические проекты для решения региональных задач.     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Камчатский государственный университет им. Витуса Беринга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Камчатского края</w:t>
            </w:r>
          </w:p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</w:tr>
      <w:tr>
        <w:trPr>
          <w:trHeight w:val="989" w:hRule="atLeast"/>
        </w:trPr>
        <w:tc>
          <w:tcPr>
            <w:tcW w:w="550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20.</w:t>
            </w:r>
          </w:p>
        </w:tc>
        <w:tc>
          <w:tcPr>
            <w:tcW w:w="2104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Международная научно-практическая конференция «Актуальные вопросы социально-экономического и политико-правового развития современной России»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</w:tc>
        <w:tc>
          <w:tcPr>
            <w:tcW w:w="12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первая половина декабря</w:t>
            </w:r>
          </w:p>
        </w:tc>
        <w:tc>
          <w:tcPr>
            <w:tcW w:w="105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  <w:shd w:fill="FFD821" w:val="clear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Очно</w:t>
            </w:r>
          </w:p>
        </w:tc>
        <w:tc>
          <w:tcPr>
            <w:tcW w:w="179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г. Петропавловск-Камчатский (Россия)</w:t>
            </w:r>
          </w:p>
        </w:tc>
        <w:tc>
          <w:tcPr>
            <w:tcW w:w="2637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В ходе работы конференции будут рассмотрены вопросы современного состояния и условий развития экономики России, актуальные вопросы внешнеэкономических связей; проблемы современного уголовного права и уголовного процесса и современного конституционного и предпринимательского права.</w:t>
            </w:r>
          </w:p>
        </w:tc>
        <w:tc>
          <w:tcPr>
            <w:tcW w:w="3414" w:type="dxa"/>
            <w:tcBorders/>
            <w:vAlign w:val="center"/>
          </w:tcPr>
          <w:p>
            <w:pPr>
              <w:pStyle w:val="Normal"/>
              <w:widowControl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В рамках конференции планируется обсудить основные результаты актуальных научных исследований учёных, научно-педагогических работников, специалистов-практиков, представителей органов государственной власти и местного самоуправления, руководителей предприятий и организаций реального сектора экономики различных форм собственности, студентов высших образовательных учреждений Российского Дальнего Востока и стран АТР.</w:t>
            </w:r>
          </w:p>
        </w:tc>
        <w:tc>
          <w:tcPr>
            <w:tcW w:w="2093" w:type="dxa"/>
            <w:tcBorders/>
            <w:vAlign w:val="center"/>
          </w:tcPr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 xml:space="preserve">Дальневосточный 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филиал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Федерального государственного бюджетного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образовательного учреждения высшего образования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«Всероссийская академия внешней торговли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Министерства экономического развития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Российской Федерации»</w:t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</w:r>
          </w:p>
          <w:p>
            <w:pPr>
              <w:pStyle w:val="Normal"/>
              <w:widowControl w:val="false"/>
              <w:spacing w:lineRule="auto" w:line="240" w:before="0" w:after="0"/>
              <w:ind w:hanging="0" w:left="0" w:right="0"/>
              <w:jc w:val="center"/>
              <w:rPr>
                <w:rFonts w:ascii="Times New Roman" w:hAnsi="Times New Roman"/>
                <w:i w:val="false"/>
                <w:i w:val="false"/>
                <w:sz w:val="20"/>
              </w:rPr>
            </w:pPr>
            <w:r>
              <w:rPr>
                <w:rFonts w:ascii="Times New Roman" w:hAnsi="Times New Roman"/>
                <w:i w:val="false"/>
                <w:color w:val="000000"/>
                <w:spacing w:val="0"/>
                <w:kern w:val="0"/>
                <w:sz w:val="20"/>
                <w:szCs w:val="20"/>
              </w:rPr>
              <w:t>Министерство образования Камчатского края</w:t>
            </w:r>
          </w:p>
        </w:tc>
      </w:tr>
    </w:tbl>
    <w:p>
      <w:pPr>
        <w:pStyle w:val="Normal"/>
        <w:spacing w:lineRule="auto" w:line="240" w:before="0" w:after="0"/>
        <w:jc w:val="center"/>
        <w:rPr>
          <w:rFonts w:ascii="Times New Roman" w:hAnsi="Times New Roman"/>
          <w:sz w:val="28"/>
        </w:rPr>
      </w:pPr>
      <w:r>
        <w:rPr>
          <w:rFonts w:ascii="Times New Roman" w:hAnsi="Times New Roman"/>
          <w:sz w:val="28"/>
        </w:rPr>
      </w:r>
    </w:p>
    <w:sectPr>
      <w:headerReference w:type="even" r:id="rId4"/>
      <w:headerReference w:type="default" r:id="rId5"/>
      <w:headerReference w:type="first" r:id="rId6"/>
      <w:type w:val="nextPage"/>
      <w:pgSz w:orient="landscape" w:w="16838" w:h="11906"/>
      <w:pgMar w:left="1134" w:right="964" w:gutter="0" w:header="708" w:top="1134" w:footer="0" w:bottom="850"/>
      <w:pgNumType w:start="1" w:fmt="decimal"/>
      <w:formProt w:val="false"/>
      <w:titlePg/>
      <w:textDirection w:val="lrTb"/>
      <w:docGrid w:type="default" w:linePitch="10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Calibri Light">
    <w:charset w:val="cc"/>
    <w:family w:val="roman"/>
    <w:pitch w:val="variable"/>
  </w:font>
  <w:font w:name="XO Thames">
    <w:charset w:val="cc"/>
    <w:family w:val="roman"/>
    <w:pitch w:val="variable"/>
  </w:font>
  <w:font w:name="Times New Roman">
    <w:charset w:val="cc"/>
    <w:family w:val="auto"/>
    <w:pitch w:val="variable"/>
  </w:font>
  <w:font w:name="Arial">
    <w:charset w:val="cc"/>
    <w:family w:val="auto"/>
    <w:pitch w:val="variable"/>
  </w:font>
  <w:font w:name="Calibri">
    <w:charset w:val="cc"/>
    <w:family w:val="auto"/>
    <w:pitch w:val="variable"/>
  </w:font>
  <w:font w:name="Liberation Sans">
    <w:altName w:val="Arial"/>
    <w:charset w:val="cc"/>
    <w:family w:val="swiss"/>
    <w:pitch w:val="variable"/>
  </w:font>
  <w:font w:name="Times New Roman">
    <w:charset w:val="cc"/>
    <w:family w:val="roman"/>
    <w:pitch w:val="variable"/>
  </w:font>
</w:fonts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jc w:val="center"/>
      <w:rPr>
        <w:rFonts w:ascii="Times New Roman" w:hAnsi="Times New Roman"/>
        <w:sz w:val="20"/>
      </w:rPr>
    </w:pPr>
    <w:r>
      <w:rPr>
        <w:rFonts w:ascii="Times New Roman" w:hAnsi="Times New Roman"/>
        <w:sz w:val="20"/>
      </w:rPr>
      <mc:AlternateContent>
        <mc:Choice Requires="wps">
          <w:drawing>
            <wp:anchor behindDoc="1" distT="0" distB="0" distL="114300" distR="114300" simplePos="0" locked="0" layoutInCell="0" allowOverlap="1" relativeHeight="14">
              <wp:simplePos x="0" y="0"/>
              <wp:positionH relativeFrom="column">
                <wp:posOffset>4616450</wp:posOffset>
              </wp:positionH>
              <wp:positionV relativeFrom="page">
                <wp:posOffset>449580</wp:posOffset>
              </wp:positionV>
              <wp:extent cx="196215" cy="236855"/>
              <wp:effectExtent l="635" t="635" r="0" b="0"/>
              <wp:wrapSquare wrapText="bothSides"/>
              <wp:docPr id="1" name="Picture 1"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196200" cy="236880"/>
                      </a:xfrm>
                      <a:prstGeom prst="rect">
                        <a:avLst/>
                      </a:prstGeom>
                      <a:noFill/>
                      <a:ln w="0">
                        <a:noFill/>
                      </a:ln>
                    </wps:spPr>
                    <wps:style>
                      <a:lnRef idx="0"/>
                      <a:fillRef idx="0"/>
                      <a:effectRef idx="0"/>
                      <a:fontRef idx="minor"/>
                    </wps:style>
                    <wps:txbx>
                      <w:txbxContent>
                        <w:p>
                          <w:pPr>
                            <w:pStyle w:val="Normal"/>
                            <w:spacing w:before="0" w:after="160"/>
                            <w:jc w:val="center"/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pPr>
                          <w:r>
                            <w:rPr>
                              <w:rFonts w:ascii="Times New Roman" w:hAnsi="Times New Roman"/>
                              <w:color w:val="000000"/>
                              <w:spacing w:val="0"/>
                              <w:sz w:val="20"/>
                            </w:rPr>
                          </w:r>
                        </w:p>
                      </w:txbxContent>
                    </wps:txbx>
                    <wps:bodyPr anchor="ctr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id="shape_0" ID="Picture 1" path="m0,0l-2147483645,0l-2147483645,-2147483646l0,-2147483646xe" stroked="f" o:allowincell="f" style="position:absolute;margin-left:363.5pt;margin-top:35.4pt;width:15.4pt;height:18.6pt;mso-wrap-style:none;v-text-anchor:middle;mso-position-vertical-relative:page">
              <v:fill o:detectmouseclick="t" on="false"/>
              <v:stroke color="#3465a4" joinstyle="round" endcap="flat"/>
              <v:textbox>
                <w:txbxContent>
                  <w:p>
                    <w:pPr>
                      <w:pStyle w:val="Normal"/>
                      <w:spacing w:before="0" w:after="160"/>
                      <w:jc w:val="center"/>
                      <w:rPr>
                        <w:rFonts w:ascii="Times New Roman" w:hAnsi="Times New Roman"/>
                        <w:color w:val="000000"/>
                        <w:spacing w:val="0"/>
                        <w:sz w:val="20"/>
                      </w:rPr>
                    </w:pPr>
                    <w:r>
                      <w:rPr>
                        <w:rFonts w:ascii="Times New Roman" w:hAnsi="Times New Roman"/>
                        <w:color w:val="000000"/>
                        <w:spacing w:val="0"/>
                        <w:sz w:val="20"/>
                      </w:rPr>
                    </w:r>
                  </w:p>
                </w:txbxContent>
              </v:textbox>
              <w10:wrap type="square"/>
            </v:rect>
          </w:pict>
        </mc:Fallback>
      </mc:AlternateContent>
    </w:r>
    <w:r>
      <mc:AlternateContent>
        <mc:Choice Requires="wps">
          <w:drawing>
            <wp:anchor behindDoc="0" distT="0" distB="0" distL="0" distR="0" simplePos="0" locked="0" layoutInCell="0" allowOverlap="1" relativeHeight="22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71755" cy="170815"/>
              <wp:effectExtent l="0" t="0" r="0" b="0"/>
              <wp:wrapSquare wrapText="bothSides"/>
              <wp:docPr id="2" name="Врезка2"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1755" cy="170815"/>
                      </a:xfrm>
                      <a:prstGeom prst="rect"/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>
                          <w:pPr>
                            <w:pStyle w:val="Normal"/>
                            <w:pBdr/>
                            <w:spacing w:before="0" w:after="160"/>
                            <w:rPr/>
                          </w:pPr>
                          <w:r>
                            <w:rPr/>
                            <w:fldChar w:fldCharType="begin"/>
                          </w:r>
                          <w:r>
                            <w:rPr/>
                            <w:instrText xml:space="preserve"> PAGE \* ARABIC </w:instrText>
                          </w:r>
                          <w:r>
                            <w:rPr/>
                            <w:fldChar w:fldCharType="separate"/>
                          </w:r>
                          <w:r>
                            <w:rPr/>
                            <w:t>8</w:t>
                          </w:r>
                          <w:r>
                            <w:rPr/>
                            <w:fldChar w:fldCharType="end"/>
                          </w:r>
                        </w:p>
                      </w:txbxContent>
                    </wps:txbx>
                    <wps:bodyPr anchor="t" lIns="0" tIns="0" rIns="0" bIns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rect fillcolor="#FFFFFF" style="position:absolute;rotation:-0;width:5.65pt;height:13.45pt;mso-wrap-distance-left:0pt;mso-wrap-distance-right:0pt;mso-wrap-distance-top:0pt;mso-wrap-distance-bottom:0pt;margin-top:0.05pt;mso-position-vertical-relative:text;margin-left:365.7pt;mso-position-horizontal:center;mso-position-horizontal-relative:margin">
              <v:fill opacity="0f"/>
              <v:textbox inset="0in,0in,0in,0in">
                <w:txbxContent>
                  <w:p>
                    <w:pPr>
                      <w:pStyle w:val="Normal"/>
                      <w:pBdr/>
                      <w:spacing w:before="0" w:after="160"/>
                      <w:rPr/>
                    </w:pPr>
                    <w:r>
                      <w:rPr/>
                      <w:fldChar w:fldCharType="begin"/>
                    </w:r>
                    <w:r>
                      <w:rPr/>
                      <w:instrText xml:space="preserve"> PAGE \* ARABIC </w:instrText>
                    </w:r>
                    <w:r>
                      <w:rPr/>
                      <w:fldChar w:fldCharType="separate"/>
                    </w:r>
                    <w:r>
                      <w:rPr/>
                      <w:t>8</w:t>
                    </w:r>
                    <w:r>
                      <w:rPr/>
                      <w:fldChar w:fldCharType="end"/>
                    </w:r>
                  </w:p>
                </w:txbxContent>
              </v:textbox>
              <w10:wrap type="square"/>
            </v:rect>
          </w:pict>
        </mc:Fallback>
      </mc:AlternateContent>
    </w:r>
  </w:p>
  <w:p>
    <w:pPr>
      <w:pStyle w:val="Header"/>
      <w:rPr/>
    </w:pPr>
    <w:r>
      <w:rPr/>
    </w:r>
  </w:p>
</w:hdr>
</file>

<file path=word/header3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Header"/>
      <w:rPr/>
    </w:pPr>
    <w:r>
      <w:rPr/>
    </w:r>
  </w:p>
</w:hdr>
</file>

<file path=word/settings.xml><?xml version="1.0" encoding="utf-8"?>
<w:settings xmlns:w="http://schemas.openxmlformats.org/wordprocessingml/2006/main">
  <w:zoom w:percent="100"/>
  <w:defaultTabStop w:val="708"/>
  <w:autoHyphenation w:val="true"/>
  <w:hyphenationZone w:val="0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NSimSun" w:cs="Arial" w:asciiTheme="minorAscii" w:hAnsiTheme="minorHAnsi"/>
        <w:color w:val="000000"/>
        <w:sz w:val="22"/>
        <w:lang w:val="ru-RU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4">
    <w:lsdException w:name="Normal" w:uiPriority="0" w:semiHidden="0" w:unhideWhenUsed="0" w:qFormat="1"/>
    <w:lsdException w:name="heading 1" w:uiPriority="9" w:semiHidden="0" w:unhideWhenUsed="0" w:qFormat="1"/>
    <w:lsdException w:name="heading 2" w:uiPriority="9" w:semiHidden="0" w:unhideWhenUsed="0" w:qFormat="1"/>
    <w:lsdException w:name="heading 3" w:uiPriority="9" w:semiHidden="0" w:unhideWhenUsed="0" w:qFormat="1"/>
    <w:lsdException w:name="heading 4" w:uiPriority="9" w:semiHidden="0" w:unhideWhenUsed="0" w:qFormat="1"/>
    <w:lsdException w:name="heading 5" w:uiPriority="9" w:semiHidden="0" w:unhideWhenUsed="0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Title" w:uiPriority="10" w:semiHidden="0" w:unhideWhenUsed="0" w:qFormat="1"/>
    <w:lsdException w:name="Subtitle" w:uiPriority="11" w:semiHidden="0" w:unhideWhenUsed="0" w:qFormat="1"/>
    <w:lsdException w:name="Header and Footer" w:semiHidden="0" w:unhideWhenUsed="0" w:qFormat="0"/>
    <w:lsdException w:name="Footnote" w:semiHidden="0" w:unhideWhenUsed="0" w:qFormat="0"/>
    <w:lsdException w:name="toc 1" w:uiPriority="39" w:semiHidden="0" w:unhideWhenUsed="0" w:qFormat="0"/>
    <w:lsdException w:name="toc 2" w:uiPriority="39" w:semiHidden="0" w:unhideWhenUsed="0" w:qFormat="0"/>
    <w:lsdException w:name="toc 3" w:uiPriority="39" w:semiHidden="0" w:unhideWhenUsed="0" w:qFormat="0"/>
    <w:lsdException w:name="toc 4" w:uiPriority="39" w:semiHidden="0" w:unhideWhenUsed="0" w:qFormat="0"/>
    <w:lsdException w:name="toc 5" w:uiPriority="39" w:semiHidden="0" w:unhideWhenUsed="0" w:qFormat="0"/>
    <w:lsdException w:name="toc 6" w:uiPriority="39" w:semiHidden="0" w:unhideWhenUsed="0" w:qFormat="0"/>
    <w:lsdException w:name="toc 7" w:uiPriority="39" w:semiHidden="0" w:unhideWhenUsed="0" w:qFormat="0"/>
    <w:lsdException w:name="toc 8" w:uiPriority="39" w:semiHidden="0" w:unhideWhenUsed="0" w:qFormat="0"/>
    <w:lsdException w:name="toc 9" w:uiPriority="39" w:semiHidden="0" w:unhideWhenUsed="0" w:qFormat="0"/>
    <w:lsdException w:name="Hyperlink" w:semiHidden="0" w:unhideWhenUsed="0" w:qFormat="0"/>
  </w:latentStyles>
  <w:style w:type="paragraph" w:styleId="Normal" w:default="1">
    <w:name w:val="Normal"/>
    <w:uiPriority w:val="0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Heading1">
    <w:name w:val="heading 1"/>
    <w:basedOn w:val="Normal"/>
    <w:next w:val="Normal"/>
    <w:uiPriority w:val="9"/>
    <w:qFormat/>
    <w:pPr>
      <w:keepNext w:val="true"/>
      <w:keepLines/>
      <w:spacing w:before="240" w:after="0"/>
      <w:outlineLvl w:val="0"/>
    </w:pPr>
    <w:rPr>
      <w:rFonts w:ascii="Calibri Light" w:hAnsi="Calibri Light" w:asciiTheme="majorAscii" w:hAnsiTheme="majorHAnsi"/>
      <w:color w:themeColor="accent1" w:themeShade="bf" w:val="2E75B5"/>
      <w:sz w:val="32"/>
    </w:rPr>
  </w:style>
  <w:style w:type="paragraph" w:styleId="Heading2">
    <w:name w:val="heading 2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1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Heading3">
    <w:name w:val="heading 3"/>
    <w:basedOn w:val="Normal"/>
    <w:next w:val="Normal"/>
    <w:uiPriority w:val="9"/>
    <w:qFormat/>
    <w:pPr>
      <w:keepNext w:val="true"/>
      <w:keepLines/>
      <w:spacing w:before="40" w:after="0"/>
      <w:outlineLvl w:val="2"/>
    </w:pPr>
    <w:rPr>
      <w:rFonts w:ascii="Calibri Light" w:hAnsi="Calibri Light" w:asciiTheme="majorAscii" w:hAnsiTheme="majorHAnsi"/>
      <w:color w:themeColor="accent1" w:themeShade="7f" w:val="1F4E79"/>
      <w:sz w:val="24"/>
    </w:rPr>
  </w:style>
  <w:style w:type="paragraph" w:styleId="Heading4">
    <w:name w:val="heading 4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3"/>
    </w:pPr>
    <w:rPr>
      <w:rFonts w:ascii="XO Thames" w:hAnsi="XO Thames" w:eastAsia="NSimSun" w:cs="Arial"/>
      <w:b/>
      <w:color w:val="000000"/>
      <w:spacing w:val="0"/>
      <w:kern w:val="0"/>
      <w:sz w:val="24"/>
      <w:szCs w:val="20"/>
      <w:lang w:val="ru-RU" w:eastAsia="zh-CN" w:bidi="hi-IN"/>
    </w:rPr>
  </w:style>
  <w:style w:type="paragraph" w:styleId="Heading5">
    <w:name w:val="heading 5"/>
    <w:next w:val="Normal"/>
    <w:uiPriority w:val="9"/>
    <w:qFormat/>
    <w:pPr>
      <w:widowControl/>
      <w:bidi w:val="0"/>
      <w:spacing w:lineRule="auto" w:line="264" w:before="120" w:after="120"/>
      <w:ind w:hanging="0" w:left="0" w:right="0"/>
      <w:jc w:val="both"/>
      <w:outlineLvl w:val="4"/>
    </w:pPr>
    <w:rPr>
      <w:rFonts w:ascii="XO Thames" w:hAnsi="XO Thames" w:eastAsia="NSimSun" w:cs="Arial"/>
      <w:b/>
      <w:color w:val="000000"/>
      <w:spacing w:val="0"/>
      <w:kern w:val="0"/>
      <w:sz w:val="22"/>
      <w:szCs w:val="20"/>
      <w:lang w:val="ru-RU" w:eastAsia="zh-CN" w:bidi="hi-IN"/>
    </w:rPr>
  </w:style>
  <w:style w:type="character" w:styleId="Contents2">
    <w:name w:val="Contents 2"/>
    <w:qFormat/>
    <w:rPr>
      <w:rFonts w:ascii="XO Thames" w:hAnsi="XO Thames"/>
      <w:sz w:val="28"/>
    </w:rPr>
  </w:style>
  <w:style w:type="character" w:styleId="Contents4">
    <w:name w:val="Contents 4"/>
    <w:qFormat/>
    <w:rPr>
      <w:rFonts w:ascii="XO Thames" w:hAnsi="XO Thames"/>
      <w:sz w:val="28"/>
    </w:rPr>
  </w:style>
  <w:style w:type="character" w:styleId="Contents6">
    <w:name w:val="Contents 6"/>
    <w:qFormat/>
    <w:rPr>
      <w:rFonts w:ascii="XO Thames" w:hAnsi="XO Thames"/>
      <w:sz w:val="28"/>
    </w:rPr>
  </w:style>
  <w:style w:type="character" w:styleId="Contents7">
    <w:name w:val="Contents 7"/>
    <w:qFormat/>
    <w:rPr>
      <w:rFonts w:ascii="XO Thames" w:hAnsi="XO Thames"/>
      <w:sz w:val="28"/>
    </w:rPr>
  </w:style>
  <w:style w:type="character" w:styleId="Heading31">
    <w:name w:val="Heading 31"/>
    <w:qFormat/>
    <w:rPr>
      <w:rFonts w:ascii="Calibri Light" w:hAnsi="Calibri Light" w:asciiTheme="majorAscii" w:hAnsiTheme="majorHAnsi"/>
      <w:color w:themeColor="accent1" w:themeShade="7f" w:val="1F4E79"/>
      <w:sz w:val="24"/>
    </w:rPr>
  </w:style>
  <w:style w:type="character" w:styleId="1">
    <w:name w:val="Обычный1"/>
    <w:link w:val="111"/>
    <w:qFormat/>
    <w:rPr/>
  </w:style>
  <w:style w:type="character" w:styleId="NormalWeb">
    <w:name w:val="Normal (Web)"/>
    <w:link w:val="NormalWeb1"/>
    <w:qFormat/>
    <w:rPr>
      <w:rFonts w:ascii="Times New Roman" w:hAnsi="Times New Roman"/>
      <w:color w:val="000000"/>
      <w:sz w:val="24"/>
    </w:rPr>
  </w:style>
  <w:style w:type="character" w:styleId="11">
    <w:name w:val="Основной шрифт абзаца1"/>
    <w:link w:val="112"/>
    <w:qFormat/>
    <w:rPr/>
  </w:style>
  <w:style w:type="character" w:styleId="Contents3">
    <w:name w:val="Contents 3"/>
    <w:qFormat/>
    <w:rPr>
      <w:rFonts w:ascii="XO Thames" w:hAnsi="XO Thames"/>
      <w:sz w:val="28"/>
    </w:rPr>
  </w:style>
  <w:style w:type="character" w:styleId="Footer1">
    <w:name w:val="Footer1"/>
    <w:qFormat/>
    <w:rPr/>
  </w:style>
  <w:style w:type="character" w:styleId="12">
    <w:name w:val="Гиперссылка1"/>
    <w:link w:val="113"/>
    <w:qFormat/>
    <w:rPr>
      <w:color w:val="0000FF"/>
      <w:u w:val="single"/>
    </w:rPr>
  </w:style>
  <w:style w:type="character" w:styleId="Heading51">
    <w:name w:val="Heading 51"/>
    <w:qFormat/>
    <w:rPr>
      <w:rFonts w:ascii="XO Thames" w:hAnsi="XO Thames"/>
      <w:b/>
    </w:rPr>
  </w:style>
  <w:style w:type="character" w:styleId="Heading11">
    <w:name w:val="Heading 11"/>
    <w:qFormat/>
    <w:rPr>
      <w:rFonts w:ascii="Calibri Light" w:hAnsi="Calibri Light" w:asciiTheme="majorAscii" w:hAnsiTheme="majorHAnsi"/>
      <w:color w:themeColor="accent1" w:themeShade="bf" w:val="2E75B5"/>
      <w:sz w:val="32"/>
    </w:rPr>
  </w:style>
  <w:style w:type="character" w:styleId="InternetLink">
    <w:name w:val="Internet Link"/>
    <w:link w:val="InternetLink1"/>
    <w:qFormat/>
    <w:rPr>
      <w:color w:val="0000FF"/>
      <w:u w:val="single"/>
    </w:rPr>
  </w:style>
  <w:style w:type="character" w:styleId="Footnote">
    <w:name w:val="Footnote"/>
    <w:link w:val="Footnote1"/>
    <w:qFormat/>
    <w:rPr>
      <w:rFonts w:ascii="XO Thames" w:hAnsi="XO Thames"/>
    </w:rPr>
  </w:style>
  <w:style w:type="character" w:styleId="Contents1">
    <w:name w:val="Contents 1"/>
    <w:qFormat/>
    <w:rPr>
      <w:rFonts w:ascii="XO Thames" w:hAnsi="XO Thames"/>
      <w:b/>
      <w:sz w:val="28"/>
    </w:rPr>
  </w:style>
  <w:style w:type="character" w:styleId="Endnote">
    <w:name w:val="Endnote"/>
    <w:link w:val="Endnote1"/>
    <w:qFormat/>
    <w:rPr>
      <w:rFonts w:ascii="XO Thames" w:hAnsi="XO Thames"/>
    </w:rPr>
  </w:style>
  <w:style w:type="character" w:styleId="HeaderandFooter">
    <w:name w:val="Header and Footer"/>
    <w:link w:val="HeaderandFooter1"/>
    <w:qFormat/>
    <w:rPr>
      <w:rFonts w:ascii="XO Thames" w:hAnsi="XO Thames"/>
      <w:sz w:val="20"/>
    </w:rPr>
  </w:style>
  <w:style w:type="character" w:styleId="Header1">
    <w:name w:val="Header1"/>
    <w:qFormat/>
    <w:rPr/>
  </w:style>
  <w:style w:type="character" w:styleId="ConsPlusTitle">
    <w:name w:val="ConsPlusTitle"/>
    <w:link w:val="ConsPlusTitle1"/>
    <w:qFormat/>
    <w:rPr>
      <w:rFonts w:ascii="Arial" w:hAnsi="Arial"/>
      <w:b/>
      <w:sz w:val="20"/>
    </w:rPr>
  </w:style>
  <w:style w:type="character" w:styleId="Contents9">
    <w:name w:val="Contents 9"/>
    <w:qFormat/>
    <w:rPr>
      <w:rFonts w:ascii="XO Thames" w:hAnsi="XO Thames"/>
      <w:sz w:val="28"/>
    </w:rPr>
  </w:style>
  <w:style w:type="character" w:styleId="Contents8">
    <w:name w:val="Contents 8"/>
    <w:qFormat/>
    <w:rPr>
      <w:rFonts w:ascii="XO Thames" w:hAnsi="XO Thames"/>
      <w:sz w:val="28"/>
    </w:rPr>
  </w:style>
  <w:style w:type="character" w:styleId="ConsPlusNormal">
    <w:name w:val="ConsPlusNormal"/>
    <w:link w:val="ConsPlusNormal1"/>
    <w:qFormat/>
    <w:rPr>
      <w:rFonts w:ascii="Calibri" w:hAnsi="Calibri"/>
    </w:rPr>
  </w:style>
  <w:style w:type="character" w:styleId="Contents5">
    <w:name w:val="Contents 5"/>
    <w:qFormat/>
    <w:rPr>
      <w:rFonts w:ascii="XO Thames" w:hAnsi="XO Thames"/>
      <w:sz w:val="28"/>
    </w:rPr>
  </w:style>
  <w:style w:type="character" w:styleId="DefaultParagraphFont">
    <w:name w:val="Default Paragraph Font"/>
    <w:link w:val="DefaultParagraphFont1"/>
    <w:qFormat/>
    <w:rPr/>
  </w:style>
  <w:style w:type="character" w:styleId="Subtitle1">
    <w:name w:val="Subtitle1"/>
    <w:qFormat/>
    <w:rPr>
      <w:rFonts w:ascii="XO Thames" w:hAnsi="XO Thames"/>
      <w:i/>
      <w:sz w:val="24"/>
    </w:rPr>
  </w:style>
  <w:style w:type="character" w:styleId="Title1">
    <w:name w:val="Title1"/>
    <w:qFormat/>
    <w:rPr>
      <w:rFonts w:ascii="XO Thames" w:hAnsi="XO Thames"/>
      <w:b/>
      <w:caps/>
      <w:sz w:val="40"/>
    </w:rPr>
  </w:style>
  <w:style w:type="character" w:styleId="Heading41">
    <w:name w:val="Heading 41"/>
    <w:qFormat/>
    <w:rPr>
      <w:rFonts w:ascii="XO Thames" w:hAnsi="XO Thames"/>
      <w:b/>
      <w:sz w:val="24"/>
    </w:rPr>
  </w:style>
  <w:style w:type="character" w:styleId="13">
    <w:name w:val="Строгий1"/>
    <w:basedOn w:val="11"/>
    <w:link w:val="114"/>
    <w:qFormat/>
    <w:rPr>
      <w:b/>
    </w:rPr>
  </w:style>
  <w:style w:type="character" w:styleId="Heading21">
    <w:name w:val="Heading 21"/>
    <w:qFormat/>
    <w:rPr>
      <w:rFonts w:ascii="XO Thames" w:hAnsi="XO Thames"/>
      <w:b/>
      <w:sz w:val="28"/>
    </w:rPr>
  </w:style>
  <w:style w:type="character" w:styleId="Hyperlink">
    <w:name w:val="Hyperlink"/>
    <w:rPr>
      <w:color w:val="000080"/>
      <w:u w:val="single"/>
    </w:rPr>
  </w:style>
  <w:style w:type="paragraph" w:styleId="Style9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0">
    <w:name w:val="Указатель"/>
    <w:basedOn w:val="Normal"/>
    <w:qFormat/>
    <w:pPr>
      <w:suppressLineNumbers/>
    </w:pPr>
    <w:rPr>
      <w:rFonts w:cs="Arial"/>
    </w:rPr>
  </w:style>
  <w:style w:type="paragraph" w:styleId="TOC2">
    <w:name w:val="toc 2"/>
    <w:next w:val="Normal"/>
    <w:uiPriority w:val="39"/>
    <w:pPr>
      <w:widowControl/>
      <w:bidi w:val="0"/>
      <w:spacing w:lineRule="auto" w:line="264" w:before="0" w:after="160"/>
      <w:ind w:hanging="0" w:left="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4">
    <w:name w:val="toc 4"/>
    <w:next w:val="Normal"/>
    <w:uiPriority w:val="39"/>
    <w:pPr>
      <w:widowControl/>
      <w:bidi w:val="0"/>
      <w:spacing w:lineRule="auto" w:line="264" w:before="0" w:after="160"/>
      <w:ind w:hanging="0" w:left="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6">
    <w:name w:val="toc 6"/>
    <w:next w:val="Normal"/>
    <w:uiPriority w:val="39"/>
    <w:pPr>
      <w:widowControl/>
      <w:bidi w:val="0"/>
      <w:spacing w:lineRule="auto" w:line="264" w:before="0" w:after="160"/>
      <w:ind w:hanging="0" w:left="10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7">
    <w:name w:val="toc 7"/>
    <w:next w:val="Normal"/>
    <w:uiPriority w:val="39"/>
    <w:pPr>
      <w:widowControl/>
      <w:bidi w:val="0"/>
      <w:spacing w:lineRule="auto" w:line="264" w:before="0" w:after="160"/>
      <w:ind w:hanging="0" w:left="12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111">
    <w:name w:val="Обычный11"/>
    <w:link w:val="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NormalWeb1">
    <w:name w:val="Normal (Web)1"/>
    <w:basedOn w:val="Normal"/>
    <w:link w:val="NormalWeb"/>
    <w:qFormat/>
    <w:pPr>
      <w:spacing w:lineRule="auto" w:line="240" w:beforeAutospacing="1" w:afterAutospacing="1"/>
    </w:pPr>
    <w:rPr>
      <w:rFonts w:ascii="Times New Roman" w:hAnsi="Times New Roman"/>
      <w:color w:val="000000"/>
      <w:sz w:val="24"/>
    </w:rPr>
  </w:style>
  <w:style w:type="paragraph" w:styleId="112">
    <w:name w:val="Основной шрифт абзаца11"/>
    <w:link w:val="11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3">
    <w:name w:val="toc 3"/>
    <w:next w:val="Normal"/>
    <w:uiPriority w:val="39"/>
    <w:pPr>
      <w:widowControl/>
      <w:bidi w:val="0"/>
      <w:spacing w:lineRule="auto" w:line="264" w:before="0" w:after="160"/>
      <w:ind w:hanging="0" w:left="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HeaderandFooter1">
    <w:name w:val="Header and Footer1"/>
    <w:link w:val="HeaderandFooter"/>
    <w:qFormat/>
    <w:pPr>
      <w:widowControl/>
      <w:bidi w:val="0"/>
      <w:spacing w:lineRule="auto" w:line="240" w:before="0" w:after="160"/>
      <w:ind w:hanging="0" w:left="0" w:right="0"/>
      <w:jc w:val="both"/>
    </w:pPr>
    <w:rPr>
      <w:rFonts w:ascii="XO Thames" w:hAnsi="XO Thames" w:eastAsia="NSimSun" w:cs="Arial"/>
      <w:color w:val="000000"/>
      <w:spacing w:val="0"/>
      <w:kern w:val="0"/>
      <w:sz w:val="20"/>
      <w:szCs w:val="20"/>
      <w:lang w:val="ru-RU" w:eastAsia="zh-CN" w:bidi="hi-IN"/>
    </w:rPr>
  </w:style>
  <w:style w:type="paragraph" w:styleId="Footer">
    <w:name w:val="foot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113">
    <w:name w:val="Гиперссылка11"/>
    <w:link w:val="12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InternetLink1">
    <w:name w:val="Internet Link1"/>
    <w:link w:val="InternetLink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/>
      <w:color w:val="0000FF"/>
      <w:spacing w:val="0"/>
      <w:kern w:val="0"/>
      <w:sz w:val="22"/>
      <w:szCs w:val="20"/>
      <w:u w:val="single"/>
      <w:lang w:val="ru-RU" w:eastAsia="zh-CN" w:bidi="hi-IN"/>
    </w:rPr>
  </w:style>
  <w:style w:type="paragraph" w:styleId="Footnote1">
    <w:name w:val="Footnote1"/>
    <w:link w:val="Foot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TOC1">
    <w:name w:val="toc 1"/>
    <w:next w:val="Normal"/>
    <w:uiPriority w:val="39"/>
    <w:pPr>
      <w:widowControl/>
      <w:bidi w:val="0"/>
      <w:spacing w:lineRule="auto" w:line="264" w:before="0" w:after="160"/>
      <w:ind w:hanging="0" w:left="0" w:right="0"/>
      <w:jc w:val="left"/>
    </w:pPr>
    <w:rPr>
      <w:rFonts w:ascii="XO Thames" w:hAnsi="XO Thames" w:eastAsia="NSimSun" w:cs="Arial"/>
      <w:b/>
      <w:color w:val="000000"/>
      <w:spacing w:val="0"/>
      <w:kern w:val="0"/>
      <w:sz w:val="28"/>
      <w:szCs w:val="20"/>
      <w:lang w:val="ru-RU" w:eastAsia="zh-CN" w:bidi="hi-IN"/>
    </w:rPr>
  </w:style>
  <w:style w:type="paragraph" w:styleId="Endnote1">
    <w:name w:val="Endnote1"/>
    <w:link w:val="Endnote"/>
    <w:qFormat/>
    <w:pPr>
      <w:widowControl/>
      <w:bidi w:val="0"/>
      <w:spacing w:lineRule="auto" w:line="264" w:before="0" w:after="160"/>
      <w:ind w:firstLine="851" w:left="0" w:right="0"/>
      <w:jc w:val="both"/>
    </w:pPr>
    <w:rPr>
      <w:rFonts w:ascii="XO Thames" w:hAnsi="XO Thames" w:eastAsia="NSimSun" w:cs="Arial"/>
      <w:color w:val="000000"/>
      <w:spacing w:val="0"/>
      <w:kern w:val="0"/>
      <w:sz w:val="22"/>
      <w:szCs w:val="20"/>
      <w:lang w:val="ru-RU" w:eastAsia="zh-CN" w:bidi="hi-IN"/>
    </w:rPr>
  </w:style>
  <w:style w:type="paragraph" w:styleId="Header">
    <w:name w:val="header"/>
    <w:basedOn w:val="Normal"/>
    <w:pPr>
      <w:tabs>
        <w:tab w:val="clear" w:pos="708"/>
        <w:tab w:val="center" w:pos="4677" w:leader="none"/>
        <w:tab w:val="right" w:pos="9355" w:leader="none"/>
      </w:tabs>
      <w:spacing w:lineRule="auto" w:line="240" w:before="0" w:after="0"/>
    </w:pPr>
    <w:rPr/>
  </w:style>
  <w:style w:type="paragraph" w:styleId="ConsPlusTitle1">
    <w:name w:val="ConsPlusTitle1"/>
    <w:link w:val="ConsPlusTitle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Arial" w:hAnsi="Arial" w:eastAsia="NSimSun" w:cs="Arial"/>
      <w:b/>
      <w:color w:val="000000"/>
      <w:spacing w:val="0"/>
      <w:kern w:val="0"/>
      <w:sz w:val="20"/>
      <w:szCs w:val="20"/>
      <w:lang w:val="ru-RU" w:eastAsia="zh-CN" w:bidi="hi-IN"/>
    </w:rPr>
  </w:style>
  <w:style w:type="paragraph" w:styleId="TOC9">
    <w:name w:val="toc 9"/>
    <w:next w:val="Normal"/>
    <w:uiPriority w:val="39"/>
    <w:pPr>
      <w:widowControl/>
      <w:bidi w:val="0"/>
      <w:spacing w:lineRule="auto" w:line="264" w:before="0" w:after="160"/>
      <w:ind w:hanging="0" w:left="16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TOC8">
    <w:name w:val="toc 8"/>
    <w:next w:val="Normal"/>
    <w:uiPriority w:val="39"/>
    <w:pPr>
      <w:widowControl/>
      <w:bidi w:val="0"/>
      <w:spacing w:lineRule="auto" w:line="264" w:before="0" w:after="160"/>
      <w:ind w:hanging="0" w:left="14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ConsPlusNormal1">
    <w:name w:val="ConsPlusNormal1"/>
    <w:link w:val="ConsPlusNormal"/>
    <w:qFormat/>
    <w:pPr>
      <w:widowControl w:val="false"/>
      <w:bidi w:val="0"/>
      <w:spacing w:lineRule="auto" w:line="240" w:before="0" w:after="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TOC5">
    <w:name w:val="toc 5"/>
    <w:next w:val="Normal"/>
    <w:uiPriority w:val="39"/>
    <w:pPr>
      <w:widowControl/>
      <w:bidi w:val="0"/>
      <w:spacing w:lineRule="auto" w:line="264" w:before="0" w:after="160"/>
      <w:ind w:hanging="0" w:left="800" w:right="0"/>
      <w:jc w:val="left"/>
    </w:pPr>
    <w:rPr>
      <w:rFonts w:ascii="XO Thames" w:hAnsi="XO Thames" w:eastAsia="NSimSun" w:cs="Arial"/>
      <w:color w:val="000000"/>
      <w:spacing w:val="0"/>
      <w:kern w:val="0"/>
      <w:sz w:val="28"/>
      <w:szCs w:val="20"/>
      <w:lang w:val="ru-RU" w:eastAsia="zh-CN" w:bidi="hi-IN"/>
    </w:rPr>
  </w:style>
  <w:style w:type="paragraph" w:styleId="DefaultParagraphFont1">
    <w:name w:val="Default Paragraph Font1"/>
    <w:link w:val="DefaultParagraphFont"/>
    <w:qFormat/>
    <w:pPr>
      <w:widowControl/>
      <w:bidi w:val="0"/>
      <w:spacing w:lineRule="auto" w:line="264" w:before="0" w:after="160"/>
      <w:ind w:hanging="0" w:left="0" w:right="0"/>
      <w:jc w:val="left"/>
    </w:pPr>
    <w:rPr>
      <w:rFonts w:ascii="Calibri" w:hAnsi="Calibri" w:eastAsia="NSimSun" w:cs="Arial" w:asciiTheme="minorAscii" w:hAnsiTheme="minorHAnsi"/>
      <w:color w:val="000000"/>
      <w:spacing w:val="0"/>
      <w:kern w:val="0"/>
      <w:sz w:val="22"/>
      <w:szCs w:val="20"/>
      <w:lang w:val="ru-RU" w:eastAsia="zh-CN" w:bidi="hi-IN"/>
    </w:rPr>
  </w:style>
  <w:style w:type="paragraph" w:styleId="Subtitle">
    <w:name w:val="Subtitle"/>
    <w:next w:val="Normal"/>
    <w:uiPriority w:val="11"/>
    <w:qFormat/>
    <w:pPr>
      <w:widowControl/>
      <w:bidi w:val="0"/>
      <w:spacing w:lineRule="auto" w:line="264" w:before="0" w:after="160"/>
      <w:ind w:hanging="0" w:left="0" w:right="0"/>
      <w:jc w:val="both"/>
    </w:pPr>
    <w:rPr>
      <w:rFonts w:ascii="XO Thames" w:hAnsi="XO Thames" w:eastAsia="NSimSun" w:cs="Arial"/>
      <w:i/>
      <w:color w:val="000000"/>
      <w:spacing w:val="0"/>
      <w:kern w:val="0"/>
      <w:sz w:val="24"/>
      <w:szCs w:val="20"/>
      <w:lang w:val="ru-RU" w:eastAsia="zh-CN" w:bidi="hi-IN"/>
    </w:rPr>
  </w:style>
  <w:style w:type="paragraph" w:styleId="Title">
    <w:name w:val="Title"/>
    <w:next w:val="Normal"/>
    <w:uiPriority w:val="10"/>
    <w:qFormat/>
    <w:pPr>
      <w:widowControl/>
      <w:bidi w:val="0"/>
      <w:spacing w:lineRule="auto" w:line="264" w:before="567" w:after="567"/>
      <w:ind w:hanging="0" w:left="0" w:right="0"/>
      <w:jc w:val="center"/>
    </w:pPr>
    <w:rPr>
      <w:rFonts w:ascii="XO Thames" w:hAnsi="XO Thames" w:eastAsia="NSimSun" w:cs="Arial"/>
      <w:b/>
      <w:caps/>
      <w:color w:val="000000"/>
      <w:spacing w:val="0"/>
      <w:kern w:val="0"/>
      <w:sz w:val="40"/>
      <w:szCs w:val="20"/>
      <w:lang w:val="ru-RU" w:eastAsia="zh-CN" w:bidi="hi-IN"/>
    </w:rPr>
  </w:style>
  <w:style w:type="paragraph" w:styleId="114">
    <w:name w:val="Строгий11"/>
    <w:basedOn w:val="112"/>
    <w:link w:val="13"/>
    <w:qFormat/>
    <w:pPr/>
    <w:rPr>
      <w:b/>
    </w:rPr>
  </w:style>
  <w:style w:type="paragraph" w:styleId="Style11">
    <w:name w:val="Содержимое врезки"/>
    <w:basedOn w:val="Normal"/>
    <w:qFormat/>
    <w:pPr/>
    <w:rPr/>
  </w:style>
  <w:style w:type="table" w:styleId="Style_3">
    <w:name w:val="Table Grid"/>
    <w:basedOn w:val="Style_33"/>
    <w:pPr>
      <w:spacing w:after="0" w:line="240" w:lineRule="auto"/>
    </w:pPr>
    <w:rPr>
      <w:sz w:val="20"/>
    </w:rPr>
    <w:tblPr>
      <w:tblBorders>
        <w:top w:val="single" w:color="000000" w:sz="4"/>
        <w:left w:val="single" w:color="000000" w:sz="4"/>
        <w:bottom w:val="single" w:color="000000" w:sz="4"/>
        <w:right w:val="single" w:color="000000" w:sz="4"/>
        <w:insideH w:val="single" w:color="000000" w:sz="4"/>
        <w:insideV w:val="single" w:color="000000" w:sz="4"/>
      </w:tblBorders>
    </w:tblPr>
  </w:style>
  <w:style w:type="table" w:default="1" w:styleId="Style_33">
    <w:name w:val="Normal Table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yperlink" Target="https://ru.cantonfair.net/event/44439-guangzhou-international-tourism-exhibition" TargetMode="External"/><Relationship Id="rId3" Type="http://schemas.openxmlformats.org/officeDocument/2006/relationships/hyperlink" Target="https://ru.cantonfair.net/event/44439-guangzhou-international-tourism-exhibition" TargetMode="External"/><Relationship Id="rId4" Type="http://schemas.openxmlformats.org/officeDocument/2006/relationships/header" Target="header1.xml"/><Relationship Id="rId5" Type="http://schemas.openxmlformats.org/officeDocument/2006/relationships/header" Target="header2.xml"/><Relationship Id="rId6" Type="http://schemas.openxmlformats.org/officeDocument/2006/relationships/header" Target="header3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lumMod val="110000"/>
                <a:tint val="67000"/>
              </a:schemeClr>
            </a:gs>
            <a:gs pos="50000">
              <a:schemeClr val="phClr">
                <a:lumMod val="105000"/>
                <a:tint val="73000"/>
              </a:schemeClr>
            </a:gs>
            <a:gs pos="100000">
              <a:schemeClr val="phClr">
                <a:lumMod val="105000"/>
                <a:tint val="81000"/>
              </a:schemeClr>
            </a:gs>
          </a:gsLst>
          <a:tileRect l="0" t="0" r="0" b="0"/>
        </a:gradFill>
        <a:gradFill>
          <a:gsLst>
            <a:gs pos="0">
              <a:schemeClr val="phClr">
                <a:lumMod val="102000"/>
                <a:tint val="94000"/>
              </a:schemeClr>
            </a:gs>
            <a:gs pos="50000">
              <a:schemeClr val="phClr">
                <a:lumMod val="100000"/>
                <a:shade val="100000"/>
              </a:schemeClr>
            </a:gs>
            <a:gs pos="100000">
              <a:schemeClr val="phClr">
                <a:lumMod val="99000"/>
                <a:shade val="78000"/>
              </a:schemeClr>
            </a:gs>
          </a:gsLst>
          <a:tileRect l="0" t="0" r="0" b="0"/>
        </a:gradFill>
      </a:fillStyleLst>
      <a:lnStyleLst>
        <a:ln w="6350">
          <a:prstDash val="solid"/>
        </a:ln>
        <a:ln w="12700">
          <a:prstDash val="solid"/>
        </a:ln>
        <a:ln w="1905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>
            <a:tint val="95000"/>
          </a:schemeClr>
        </a:solidFill>
        <a:gradFill>
          <a:gsLst>
            <a:gs pos="0">
              <a:schemeClr val="phClr">
                <a:tint val="93000"/>
                <a:shade val="98000"/>
                <a:lumMod val="102000"/>
              </a:schemeClr>
            </a:gs>
            <a:gs pos="50000">
              <a:schemeClr val="phClr">
                <a:tint val="98000"/>
                <a:shade val="90000"/>
                <a:lumMod val="103000"/>
              </a:schemeClr>
            </a:gs>
            <a:gs pos="100000">
              <a:schemeClr val="phClr">
                <a:shade val="63000"/>
              </a:schemeClr>
            </a:gs>
          </a:gsLst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Application>LibreOffice/24.8.0.3$Windows_X86_64 LibreOffice_project/0bdf1299c94fe897b119f97f3c613e9dca6be583</Application>
  <AppVersion>15.0000</AppVersion>
  <Pages>8</Pages>
  <Words>1532</Words>
  <Characters>12271</Characters>
  <CharactersWithSpaces>13619</CharactersWithSpaces>
  <Paragraphs>239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description/>
  <dc:language>ru-RU</dc:language>
  <cp:lastModifiedBy/>
  <dcterms:modified xsi:type="dcterms:W3CDTF">2025-04-17T16:26:21Z</dcterms:modified>
  <cp:revision>1</cp:revision>
  <dc:subject/>
  <dc:title/>
</cp:coreProperties>
</file>