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</w:t>
      </w:r>
    </w:p>
    <w:p w14:paraId="09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Региональной программы развития экспорта Камчатского края (далее - программа)</w:t>
      </w:r>
    </w:p>
    <w:p w14:paraId="0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положения.</w:t>
      </w:r>
    </w:p>
    <w:p w14:paraId="0C00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937"/>
        <w:gridCol w:w="8633"/>
      </w:tblGrid>
      <w:tr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0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программы </w:t>
            </w:r>
          </w:p>
        </w:tc>
        <w:tc>
          <w:tcPr>
            <w:tcW w:type="dxa" w:w="8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Развитие экспорта Камчатского края</w:t>
            </w:r>
          </w:p>
        </w:tc>
      </w:tr>
      <w:tr>
        <w:tc>
          <w:tcPr>
            <w:tcW w:type="dxa" w:w="593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Краткое наименование программы (при наличии) </w:t>
            </w:r>
          </w:p>
        </w:tc>
        <w:tc>
          <w:tcPr>
            <w:tcW w:type="dxa" w:w="86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Развитие экспорта Камчатского края</w:t>
            </w:r>
          </w:p>
        </w:tc>
      </w:tr>
      <w:tr>
        <w:tc>
          <w:tcPr>
            <w:tcW w:type="dxa" w:w="593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начала и окончания программы</w:t>
            </w:r>
          </w:p>
        </w:tc>
        <w:tc>
          <w:tcPr>
            <w:tcW w:type="dxa" w:w="86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2024-2027 годы</w:t>
            </w:r>
          </w:p>
        </w:tc>
      </w:tr>
      <w:tr>
        <w:tc>
          <w:tcPr>
            <w:tcW w:type="dxa" w:w="593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РОИВ-координатор</w:t>
            </w:r>
          </w:p>
        </w:tc>
        <w:tc>
          <w:tcPr>
            <w:tcW w:type="dxa" w:w="86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Министерство туризма Камчатского края</w:t>
            </w:r>
          </w:p>
        </w:tc>
      </w:tr>
      <w:tr>
        <w:trPr>
          <w:trHeight w:hRule="atLeast" w:val="730"/>
        </w:trPr>
        <w:tc>
          <w:tcPr>
            <w:tcW w:type="dxa" w:w="593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Финансирование.</w:t>
            </w:r>
          </w:p>
          <w:p w14:paraId="16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Связь с государственными программами (подпрограммами / региональными программами) и региональными проектами субъекта Российской Федерации</w:t>
            </w:r>
          </w:p>
        </w:tc>
        <w:tc>
          <w:tcPr>
            <w:tcW w:type="dxa" w:w="86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3_ch"/>
                <w:rFonts w:ascii="Times New Roman" w:hAnsi="Times New Roman"/>
                <w:sz w:val="26"/>
              </w:rPr>
              <w:t xml:space="preserve">Стратегия социально-экономического развития Камчатского края до 2035 года, утвержденная постановлением Правительства Камчатского края от 30.10.2023 № 541-П. </w:t>
            </w:r>
          </w:p>
          <w:p w14:paraId="1800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Финансирование мероприятий будет осуществляться за счет средств Государственных программ Камчатского края:</w:t>
            </w:r>
          </w:p>
          <w:p w14:paraId="1900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 Государственная программа Камчатского края «Развитие экономики и внешнеэкономической деятельности Камчатского края, утвержденная постановлением Правительства Камчатского края от 01.07.2021 № 277-П;</w:t>
            </w:r>
          </w:p>
          <w:p w14:paraId="1A00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 Государственная программа Камчатского края «Развитие внутреннего и въездного туризма в Камчатском крае», утвержденная постановлением Правит</w:t>
            </w:r>
            <w:r>
              <w:rPr>
                <w:rStyle w:val="Style_3_ch"/>
                <w:rFonts w:ascii="Times New Roman" w:hAnsi="Times New Roman"/>
                <w:sz w:val="26"/>
              </w:rPr>
              <w:t>ельства Камчатского края от 01.07.2021 № 277-П;</w:t>
            </w:r>
          </w:p>
          <w:p w14:paraId="1B00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3_ch"/>
                <w:rFonts w:ascii="Times New Roman" w:hAnsi="Times New Roman"/>
                <w:sz w:val="26"/>
              </w:rPr>
              <w:t>- Государственная программа Камчатского края «Развитие физической культуры и спорта в Камчатском крае», утвержденная постановлением Правительства Камчатского края от 29.11.2013 № 552-П;</w:t>
            </w:r>
          </w:p>
          <w:p w14:paraId="1C00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3_ch"/>
                <w:rFonts w:ascii="Times New Roman" w:hAnsi="Times New Roman"/>
                <w:sz w:val="26"/>
              </w:rPr>
              <w:t>- Государственная программа Камчатского края «Развитие культуры в Камчатском крае», утвержденная постановлением Правительства Камчатского края от 29.11.2013 № 545-П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</w:tbl>
    <w:p w14:paraId="1D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E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Краткое описание текущей ситуации.</w:t>
      </w:r>
    </w:p>
    <w:p w14:paraId="1F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0000000">
      <w:pPr>
        <w:spacing w:after="0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Ключевые показатели развития экспорта*</w:t>
      </w:r>
    </w:p>
    <w:tbl>
      <w:tblPr>
        <w:tblStyle w:val="Style_2"/>
        <w:tblW w:type="auto" w:w="0"/>
        <w:tblLayout w:type="fixed"/>
      </w:tblPr>
      <w:tblGrid>
        <w:gridCol w:w="5948"/>
        <w:gridCol w:w="1724"/>
        <w:gridCol w:w="1725"/>
        <w:gridCol w:w="1724"/>
        <w:gridCol w:w="1723"/>
        <w:gridCol w:w="1725"/>
      </w:tblGrid>
      <w:tr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Наименование показателя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2018 год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2019 год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2020 год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2021 год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Прирост</w:t>
            </w:r>
          </w:p>
        </w:tc>
      </w:tr>
      <w:tr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 w:right="-1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внешнеторгового оборота, млн долл. США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962,81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1 095,84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1 089,9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1 261,24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+ 298,43</w:t>
            </w:r>
          </w:p>
        </w:tc>
      </w:tr>
      <w:tr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right="-1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экспорта, млн долл. США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854,06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869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823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977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+ 122,94</w:t>
            </w:r>
          </w:p>
        </w:tc>
      </w:tr>
      <w:tr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right="-1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стран-партнеров, ед.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64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64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+ 8</w:t>
            </w:r>
          </w:p>
        </w:tc>
      </w:tr>
      <w:tr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right="-1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участников ВЭД, ед.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185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187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198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186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 w:right="-1"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+ 1</w:t>
            </w:r>
          </w:p>
        </w:tc>
      </w:tr>
    </w:tbl>
    <w:p w14:paraId="3F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ввиду санкционной политики в отношении Российской Федерации статистические данные ВЭД с 2022 года не публикуются.</w:t>
      </w:r>
    </w:p>
    <w:p w14:paraId="40000000">
      <w:pPr>
        <w:spacing w:after="0"/>
        <w:ind/>
        <w:rPr>
          <w:rFonts w:ascii="Times New Roman" w:hAnsi="Times New Roman"/>
          <w:sz w:val="28"/>
        </w:rPr>
      </w:pPr>
    </w:p>
    <w:p w14:paraId="41000000">
      <w:pPr>
        <w:spacing w:after="0"/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Структура экспорта по ключевым позициям</w:t>
      </w:r>
    </w:p>
    <w:tbl>
      <w:tblPr>
        <w:tblStyle w:val="Style_2"/>
        <w:tblW w:type="auto" w:w="0"/>
        <w:tblLayout w:type="fixed"/>
      </w:tblPr>
      <w:tblGrid>
        <w:gridCol w:w="8962"/>
        <w:gridCol w:w="1210"/>
        <w:gridCol w:w="1022"/>
        <w:gridCol w:w="1022"/>
        <w:gridCol w:w="1022"/>
        <w:gridCol w:w="1446"/>
      </w:tblGrid>
      <w:tr>
        <w:trPr>
          <w:trHeight w:hRule="atLeast" w:val="631"/>
        </w:trPr>
        <w:tc>
          <w:tcPr>
            <w:tcW w:type="dxa" w:w="8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Показатель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2018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2019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2021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Прирост</w:t>
            </w:r>
          </w:p>
        </w:tc>
      </w:tr>
      <w:tr>
        <w:trPr>
          <w:trHeight w:hRule="atLeast" w:val="829"/>
        </w:trPr>
        <w:tc>
          <w:tcPr>
            <w:tcW w:type="dxa" w:w="146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Страны</w:t>
            </w:r>
          </w:p>
        </w:tc>
      </w:tr>
      <w:tr>
        <w:trPr>
          <w:trHeight w:hRule="atLeast" w:val="439"/>
        </w:trPr>
        <w:tc>
          <w:tcPr>
            <w:tcW w:type="dxa" w:w="8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Китайская Народная Республика, млн долл. США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361,15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385,14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398,98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185,9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-172,25</w:t>
            </w:r>
          </w:p>
        </w:tc>
      </w:tr>
      <w:tr>
        <w:trPr>
          <w:trHeight w:hRule="atLeast" w:val="404"/>
        </w:trPr>
        <w:tc>
          <w:tcPr>
            <w:tcW w:type="dxa" w:w="8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Республика Корея, млн долл. США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266,35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302,20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286,68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354,7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+88,35</w:t>
            </w:r>
          </w:p>
        </w:tc>
      </w:tr>
      <w:tr>
        <w:trPr>
          <w:trHeight w:hRule="atLeast" w:val="551"/>
        </w:trPr>
        <w:tc>
          <w:tcPr>
            <w:tcW w:type="dxa" w:w="8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Япония, млн. долл. США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173,74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135,63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77,48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291,8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+118,06</w:t>
            </w:r>
          </w:p>
        </w:tc>
      </w:tr>
      <w:tr>
        <w:trPr>
          <w:trHeight w:hRule="atLeast" w:val="829"/>
        </w:trPr>
        <w:tc>
          <w:tcPr>
            <w:tcW w:type="dxa" w:w="146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Товары несырьевого неэнергетического экспорта (далее - ННЭ) и услуги, млн долл. США</w:t>
            </w:r>
          </w:p>
        </w:tc>
      </w:tr>
      <w:tr>
        <w:trPr>
          <w:trHeight w:hRule="atLeast" w:val="200"/>
        </w:trPr>
        <w:tc>
          <w:tcPr>
            <w:tcW w:type="dxa" w:w="8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Style w:val="Style_4_ch"/>
                <w:rFonts w:ascii="Times New Roman" w:hAnsi="Times New Roman"/>
                <w:sz w:val="26"/>
              </w:rPr>
              <w:t xml:space="preserve"> Продукция из водных биологических ресурсов </w:t>
            </w:r>
          </w:p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Style w:val="Style_4_ch"/>
                <w:rFonts w:ascii="Times New Roman" w:hAnsi="Times New Roman"/>
                <w:sz w:val="26"/>
              </w:rPr>
              <w:t>(код ТН ВЭД 03, 1212 21 000 0, 1504, 1604, 1605, 2301)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  <w:sz w:val="26"/>
              </w:rPr>
              <w:t>793,5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  <w:sz w:val="26"/>
              </w:rPr>
              <w:t>837,3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  <w:sz w:val="26"/>
              </w:rPr>
              <w:t>776,96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  <w:sz w:val="26"/>
              </w:rPr>
              <w:t>944,3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  <w:sz w:val="26"/>
              </w:rPr>
              <w:t>150,8</w:t>
            </w:r>
          </w:p>
        </w:tc>
      </w:tr>
      <w:tr>
        <w:trPr>
          <w:trHeight w:hRule="atLeast" w:val="396"/>
        </w:trPr>
        <w:tc>
          <w:tcPr>
            <w:tcW w:type="dxa" w:w="8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Минеральные продукты 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35,16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57,93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91,39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16,74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-18,42</w:t>
            </w:r>
          </w:p>
        </w:tc>
      </w:tr>
      <w:tr>
        <w:trPr>
          <w:trHeight w:hRule="atLeast" w:val="563"/>
        </w:trPr>
        <w:tc>
          <w:tcPr>
            <w:tcW w:type="dxa" w:w="8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Руды никелевые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38,16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19,73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20,91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19,27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-18,89</w:t>
            </w:r>
          </w:p>
        </w:tc>
      </w:tr>
    </w:tbl>
    <w:p w14:paraId="6F000000">
      <w:pPr>
        <w:ind/>
        <w:jc w:val="center"/>
        <w:rPr>
          <w:rFonts w:ascii="Times New Roman" w:hAnsi="Times New Roman"/>
          <w:sz w:val="28"/>
        </w:rPr>
      </w:pPr>
    </w:p>
    <w:p w14:paraId="7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Краткое описание региональной программы.</w:t>
      </w:r>
    </w:p>
    <w:p w14:paraId="71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Камчатский край занимает выгодное экономико-географическое положение в России и Азиатско-Тихоокеанском регионе, соседствуя с такими странами, как Китайская Народная Республика (далее – Китай, КНР) и Япония, вдоль камчатских берегов проходит Северный морской путь.  </w:t>
      </w:r>
    </w:p>
    <w:p w14:paraId="72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Международное сотрудничество Камчатского края строится на исторически и географически обусловленной базе, подразумевающей первоочередную ориентацию на страны Северо-Восточной Азии и ситуационное подключение партнеров из других стран АТР и Европы.</w:t>
      </w:r>
    </w:p>
    <w:p w14:paraId="73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Традиционно основными партнерами Камчатского края являются Республика Корея, Китай, Япония. На эти страны ежегодно приходится около 80 процентов всего внешнеторгового оборота Камчатского края. Остальные 20 процентов внешнеторговых сделок делятся в среднем между 60 странами, из которых в лидерах – Франция, Германия, США, Дания, Гонконг. </w:t>
      </w:r>
    </w:p>
    <w:p w14:paraId="74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Внешнеторговый оборот Камчатского края за 2021 год составил 1 190,5 млн долл. США и по сравнению с 2020 годом вырос на 13,2 процента. </w:t>
      </w:r>
    </w:p>
    <w:p w14:paraId="75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экспорта в стоимостном выражении увеличился на 18,6 процента (до 153,8 млн долл. США) за счет увеличения экспортных поставок </w:t>
      </w:r>
      <w:r>
        <w:rPr>
          <w:rFonts w:ascii="Times New Roman" w:hAnsi="Times New Roman"/>
          <w:sz w:val="28"/>
        </w:rPr>
        <w:t>рыбопродукции</w:t>
      </w:r>
      <w:r>
        <w:rPr>
          <w:rFonts w:ascii="Times New Roman" w:hAnsi="Times New Roman"/>
          <w:sz w:val="28"/>
        </w:rPr>
        <w:t xml:space="preserve"> в страны дальнего зарубежья на 21,9 процента. Объем импорта в стоимостном выражении в сравнении с 2020 годом сократился на 6,5 процента и составил 213,6 млн долл. США. </w:t>
      </w:r>
    </w:p>
    <w:p w14:paraId="76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Ввиду санкционной политики в отношении Российской Федерации статистические данные ВЭД на 2022 год не публикуются. </w:t>
      </w:r>
    </w:p>
    <w:p w14:paraId="77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Экспорт товаров Камчатского края в 2018–2021 годах имеет положительную динамику, объем экспорта увеличился в сравнении с 2018 годом на 18,4 процента. </w:t>
      </w:r>
    </w:p>
    <w:p w14:paraId="78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стран дальнего зарубежья основными покупателями продукции Камчатского края традиционно являются Республика Корея, Китай, Япония. На эти три страны ежегодно приходится в среднем около 80 процентов экспорта Камчатского края. Из стран Евросоюза традиционными партнерами в экспорте являются Германия, Франция, Дания, Норвегия; из стран АТР (помимо Китая, Республики Корея и Японии) – Вьетнам, Гонконг, США. </w:t>
      </w:r>
    </w:p>
    <w:p w14:paraId="79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Экспортная деятельность в регионе является фактически моно-отраслевой: в структуре экспорта региона поставки продукции из водных биологических ресурсов составляют до 96,5 процента, в структуре экспорта продукции АПК – 99,9 процента. И такая ситуация, несмотря на существенное развитие других отраслей экономики Камчатки, будет сохраняться в среднесрочной перспективе. </w:t>
      </w:r>
    </w:p>
    <w:p w14:paraId="7A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Помимо </w:t>
      </w:r>
      <w:r>
        <w:rPr>
          <w:rFonts w:ascii="Times New Roman" w:hAnsi="Times New Roman"/>
          <w:sz w:val="28"/>
        </w:rPr>
        <w:t>рыбопродукции</w:t>
      </w:r>
      <w:r>
        <w:rPr>
          <w:rFonts w:ascii="Times New Roman" w:hAnsi="Times New Roman"/>
          <w:sz w:val="28"/>
        </w:rPr>
        <w:t xml:space="preserve"> Камчатский край экспортирует минеральные продукты (никелевые концентраты, дизельное топливо), металлы (лом черных и цветных металлов) и изделия из них, суда, лодки, плавучие конструкции (оборудование для ремонта судов). </w:t>
      </w:r>
    </w:p>
    <w:p w14:paraId="7B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2015 по 2019 годы экспорт услуг демонстрировал смешанную динамику. Вместе с тем, 2018 год характеризуется резким ростом (в 2,7 раза) как за счет увеличения экспорта транспортных услуг, так и услуг гостиниц и ресторанов.</w:t>
      </w:r>
    </w:p>
    <w:p w14:paraId="7C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странами-партнерами Камчатского края при экспорте транспортных услуг традиционно являются Китай, Республика Корея, США; с 2018 года – Гонконг. </w:t>
      </w:r>
    </w:p>
    <w:p w14:paraId="7D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экспорте услуг гостиниц и ресторанов выделяются страны АТР – Китай, Япония, Республика Корея, США, а также страны Европы – Германия, Франция, Италия, Швейцария. </w:t>
      </w:r>
    </w:p>
    <w:p w14:paraId="7E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отсутствия актуальных статистических данных за 2020–2022 годы по экспорту услуг, охарактеризовать ситуацию в полной мере не представляется возможным. Кроме того, отсутствуют статистические данные по объемам оказания услуг иностранным туристам туристическими компаниями Камчатского края. </w:t>
      </w:r>
    </w:p>
    <w:p w14:paraId="7F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регион посещают иностранные туристы из европейских стран, США, Азии и т.д. </w:t>
      </w:r>
    </w:p>
    <w:p w14:paraId="80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доковидный</w:t>
      </w:r>
      <w:r>
        <w:rPr>
          <w:rFonts w:ascii="Times New Roman" w:hAnsi="Times New Roman"/>
          <w:sz w:val="28"/>
        </w:rPr>
        <w:t xml:space="preserve"> период лидерами среди стран по количеству въезжающих туристов были США, Германия, Япония. С 2014 года начал значительно увеличиваться турпоток из Китая (от 280 туристов в 2014 году до 3,8 тыс. в 2019 году). В 2020 году количество российских и иностранных туристов значительно сократилось в результате введенных из-за коронавируса ограничений. Количество обслуженных иностранных туристов в 2020 году снизилось по сравнению с 2019 годом более чем в 25 раз и составило 1 434 человека. </w:t>
      </w:r>
    </w:p>
    <w:p w14:paraId="81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с марта 2020 года географическая структура иностранного потока изменилась и на первые позиции вышли Республика Корея, Китай и Германия. В 2021 году удельный вес иностранных туристов в общем объеме обслуженных туристов составил 5,4 процента, в 2020 году – 1,11 процента, в 2019 году – 15 процентов, в 2018 году – 11,8 процента, в 2017 году – 6,9 процента, в 2016 году – 8,37 процента, в 2015 году – 7,67 процента, в 2014 году – 8,34 процента. </w:t>
      </w:r>
    </w:p>
    <w:p w14:paraId="82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сформировать эффективную инфраструктуру поддержки экспорта и обеспечить вовлечение органов исполнительной власти Камчатского края и представителей бизнес-сообщества в процесс реализации региональной политики в области поддержки и развития экспортной деятельности и, как результат, увеличить число экспортеров и объем экспортной продукции.</w:t>
      </w:r>
    </w:p>
    <w:p w14:paraId="83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программы является увеличение объемов несырьевого неэнергетического экспорта товаров и услуг Камчатского края.</w:t>
      </w:r>
    </w:p>
    <w:p w14:paraId="84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</w:p>
    <w:p w14:paraId="85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</w:p>
    <w:p w14:paraId="86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</w:p>
    <w:p w14:paraId="87000000">
      <w:pPr>
        <w:spacing w:after="0" w:line="240" w:lineRule="auto"/>
        <w:ind w:firstLine="73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Целевые показатели</w:t>
      </w:r>
    </w:p>
    <w:p w14:paraId="8800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28"/>
          <w:right w:type="dxa" w:w="28"/>
        </w:tblCellMar>
      </w:tblPr>
      <w:tblGrid>
        <w:gridCol w:w="7738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hRule="atLeast" w:val="556"/>
        </w:trPr>
        <w:tc>
          <w:tcPr>
            <w:tcW w:type="dxa" w:w="7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Показатели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2030</w:t>
            </w:r>
          </w:p>
        </w:tc>
      </w:tr>
      <w:tr>
        <w:trPr>
          <w:trHeight w:hRule="atLeast" w:val="556"/>
        </w:trPr>
        <w:tc>
          <w:tcPr>
            <w:tcW w:type="dxa" w:w="7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экспорта, всего, млн долл. США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1170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1370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1470</w:t>
            </w:r>
          </w:p>
        </w:tc>
      </w:tr>
      <w:tr>
        <w:trPr>
          <w:trHeight w:hRule="atLeast" w:val="556"/>
        </w:trPr>
        <w:tc>
          <w:tcPr>
            <w:tcW w:type="dxa" w:w="7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Реальный рост ННЭ, в % к 2020 году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75</w:t>
            </w:r>
          </w:p>
        </w:tc>
      </w:tr>
      <w:tr>
        <w:trPr>
          <w:trHeight w:hRule="atLeast" w:val="556"/>
        </w:trPr>
        <w:tc>
          <w:tcPr>
            <w:tcW w:type="dxa" w:w="7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экспортеров товаров, ед.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130</w:t>
            </w:r>
          </w:p>
        </w:tc>
      </w:tr>
      <w:tr>
        <w:trPr>
          <w:trHeight w:hRule="atLeast" w:val="556"/>
        </w:trPr>
        <w:tc>
          <w:tcPr>
            <w:tcW w:type="dxa" w:w="7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экспортеров, являющихся субъектами малого и среднего предпринимательства (далее - МСП), ед.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167</w:t>
            </w:r>
          </w:p>
        </w:tc>
      </w:tr>
      <w:tr>
        <w:trPr>
          <w:trHeight w:hRule="atLeast" w:val="556"/>
        </w:trPr>
        <w:tc>
          <w:tcPr>
            <w:tcW w:type="dxa" w:w="7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ННЭ субъектов МСП, млн долл. США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470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495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560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650</w:t>
            </w:r>
          </w:p>
        </w:tc>
      </w:tr>
      <w:tr>
        <w:trPr>
          <w:trHeight w:hRule="atLeast" w:val="556"/>
        </w:trPr>
        <w:tc>
          <w:tcPr>
            <w:tcW w:type="dxa" w:w="7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стран-партнеров, ед.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85</w:t>
            </w:r>
          </w:p>
        </w:tc>
      </w:tr>
    </w:tbl>
    <w:p w14:paraId="C8000000"/>
    <w:p w14:paraId="C9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3.3. Основные драйверы роста экспорта</w:t>
      </w:r>
    </w:p>
    <w:p w14:paraId="CA000000">
      <w:pPr>
        <w:pStyle w:val="Style_5"/>
        <w:ind w:firstLine="709" w:left="0"/>
        <w:contextualSpacing w:val="1"/>
        <w:jc w:val="both"/>
      </w:pPr>
      <w:r>
        <w:rPr>
          <w:sz w:val="28"/>
        </w:rPr>
        <w:t xml:space="preserve">Основными перспективными отраслями для развития экспорта в Камчатском крае на текущий день являются рыбохозяйственный комплекс и туризм – «точки роста» несырьевого неэнергетического экспорта Камчатского края. </w:t>
      </w:r>
    </w:p>
    <w:p w14:paraId="CB000000">
      <w:pPr>
        <w:pStyle w:val="Style_5"/>
        <w:ind w:firstLine="709" w:left="0"/>
        <w:contextualSpacing w:val="1"/>
        <w:jc w:val="both"/>
      </w:pPr>
      <w:r>
        <w:rPr>
          <w:sz w:val="28"/>
        </w:rPr>
        <w:t xml:space="preserve">В краткосрочной перспективе экспорт поставок камчатской </w:t>
      </w:r>
      <w:r>
        <w:rPr>
          <w:sz w:val="28"/>
        </w:rPr>
        <w:t>рыбопродукции</w:t>
      </w:r>
      <w:r>
        <w:rPr>
          <w:sz w:val="28"/>
        </w:rPr>
        <w:t xml:space="preserve"> будет преобладать в страны АТР, с которыми уже налажены постоянные поставки. Камчатский край сохранит и будет поддерживать сложившиеся внешнеэкономические связи с КНР, Республикой Корея, Японией, и, несмотря на вводимые ограничения, с другими государствами до тех пор, пока они будут служить интересам всех сторон. </w:t>
      </w:r>
    </w:p>
    <w:p w14:paraId="CC000000">
      <w:pPr>
        <w:pStyle w:val="Style_5"/>
        <w:ind w:firstLine="709" w:left="0"/>
        <w:contextualSpacing w:val="1"/>
        <w:jc w:val="both"/>
      </w:pPr>
      <w:r>
        <w:rPr>
          <w:sz w:val="28"/>
        </w:rPr>
        <w:t xml:space="preserve">Вместе с тем с учетом политической ситуации, в настоящее время рассматриваются приоритетные направления для российских производителей из числа дружественных стран. Перспективы развития экспорта продукции из водных биологических ресурсов связаны как с расширением географии поставок рыбной продукции, в том числе в страны АТР, так и с увеличением доли продукции глубокой степени переработки. </w:t>
      </w:r>
    </w:p>
    <w:p w14:paraId="CD000000">
      <w:pPr>
        <w:pStyle w:val="Style_5"/>
        <w:ind w:firstLine="709" w:left="0"/>
        <w:contextualSpacing w:val="1"/>
        <w:jc w:val="both"/>
      </w:pPr>
      <w:r>
        <w:rPr>
          <w:sz w:val="28"/>
        </w:rPr>
        <w:t xml:space="preserve">С 2019 года на территории Камчатского края осуществляется реализация регионального проекта «Экспорт продукции АПК». Участие Камчатского края в реализации федерального проекта «Экспорт продукции АПК» оказывает </w:t>
      </w:r>
      <w:r>
        <w:rPr>
          <w:sz w:val="28"/>
        </w:rPr>
        <w:t xml:space="preserve">влияние на достижение экономически значимых результатов, предусмотренных национальным проектом «Международная кооперация и экспорт». </w:t>
      </w:r>
    </w:p>
    <w:p w14:paraId="CE000000">
      <w:pPr>
        <w:pStyle w:val="Style_5"/>
        <w:ind w:firstLine="709" w:left="0"/>
        <w:contextualSpacing w:val="1"/>
        <w:jc w:val="both"/>
      </w:pPr>
      <w:r>
        <w:rPr>
          <w:sz w:val="28"/>
        </w:rPr>
        <w:t xml:space="preserve">К 2035 году возможно увеличение объемов экспорта </w:t>
      </w:r>
      <w:r>
        <w:rPr>
          <w:sz w:val="28"/>
        </w:rPr>
        <w:t>рыбопродукции</w:t>
      </w:r>
      <w:r>
        <w:rPr>
          <w:sz w:val="28"/>
        </w:rPr>
        <w:t xml:space="preserve"> Камчатского края до 2 млрд долл. США. Учитывая, что часть рыбной продукции, произведенной камчатскими предприятиями, в настоящее время экспортируется не напрямую, а через посредников либо агентов, зарегистрированных в других субъектах Российской Федерации, рост экспорта продукции возможен за счет увеличения прямых поставок, увеличения доли производства и доли экспорта продукции глубокой переработки, а также за счет привлечения резидентов других субъектов Российской Федерации, осуществляющих добычу в </w:t>
      </w:r>
      <w:r>
        <w:rPr>
          <w:sz w:val="28"/>
        </w:rPr>
        <w:t>прикамчатских</w:t>
      </w:r>
      <w:r>
        <w:rPr>
          <w:sz w:val="28"/>
        </w:rPr>
        <w:t xml:space="preserve"> морях к перевалке и реализации произведенной продукции через порт Петропавловск-Камчатский. </w:t>
      </w:r>
    </w:p>
    <w:p w14:paraId="CF000000">
      <w:pPr>
        <w:pStyle w:val="Style_5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«Окном возможностей» для рыбного экспорта Камчатского края сегодня является производство широкой линейки качественных, полезных и конкурентоспособных продуктов, что, естественно, невозможно без инвестиций в обновление производственной базы рыбаков. </w:t>
      </w:r>
    </w:p>
    <w:p w14:paraId="D0000000">
      <w:pPr>
        <w:pStyle w:val="Style_5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Камчатка на протяжении достаточно длительного периода характеризуется устойчивым ростом потока международных туристов. В среднесрочной перспективе развитие экспорта туристических услуг будет одним из главных направлений расширения международных и внешнеторговых связей. Развитие международного туризма предъявляет достаточно высокие требования к качеству предоставляемых услуг, что в свою очередь требует развития туристской инфраструктуры и подготовки высококвалифицированных туристских кадров. </w:t>
      </w:r>
    </w:p>
    <w:p w14:paraId="D1000000">
      <w:pPr>
        <w:pStyle w:val="Style_5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Кроме того, требует активного продвижения брэнда края и отдельных турпродуктов за рубежом. В настоящее время в регионе активно развиваются различные направления туризма: научно-познавательный, этно-гастрономический, событийный, экологический, санаторно-курортный, спортивный и промышленный туризм. </w:t>
      </w:r>
    </w:p>
    <w:p w14:paraId="D2000000">
      <w:pPr>
        <w:pStyle w:val="Style_5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 Камчатском крае реализуется ряд крупных проектов в сфере туризма. В качестве государственной поддержки выступают режимы ТОР «Камчатка» и свободный порт Владивосток. </w:t>
      </w:r>
    </w:p>
    <w:p w14:paraId="D3000000">
      <w:pPr>
        <w:pStyle w:val="Style_5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 результате реализации Комплексного инвестиционного проекта по строительству современного международного аэропорта в Камчатском крае будет создан современный аэровокзальный комплекс, обеспечивающий высокий уровень сервиса для пассажиров, способствующий повышению инвестиционной и туристской привлекательности Камчатского края. </w:t>
      </w:r>
    </w:p>
    <w:p w14:paraId="D4000000">
      <w:pPr>
        <w:pStyle w:val="Style_5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Порт Петропавловск-Камчатский является одним из опорных пунктов на Дальнем Востоке для развития международного круизного судоходства. Флагманским проектом по развитию туристической инфраструктуры и привлечению иностранных туристов в Камчатский край является инвестиционный проект «Создание курорта международного стандарта и общедоступной курортной инфраструктуры «Парк «Три вулкана». По оценке </w:t>
      </w:r>
      <w:r>
        <w:rPr>
          <w:sz w:val="28"/>
        </w:rPr>
        <w:t xml:space="preserve">маркетингового консультанта, при реализации проекта не менее 10 процентов услуг к 2030 году будут оказываться иностранным туристам. </w:t>
      </w:r>
    </w:p>
    <w:p w14:paraId="D5000000">
      <w:pPr>
        <w:pStyle w:val="Style_5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Реализация проекта по созданию СПГ-Терминала и </w:t>
      </w:r>
      <w:r>
        <w:rPr>
          <w:sz w:val="28"/>
        </w:rPr>
        <w:t>газопринимающей</w:t>
      </w:r>
      <w:r>
        <w:rPr>
          <w:sz w:val="28"/>
        </w:rPr>
        <w:t xml:space="preserve"> инфраструктуры ООО «НОВАТЭК-Камчатка» с планируемой мощностью 21,7 млн тонн в год даст старт эффективному экспорту природного газа в страны АТР. </w:t>
      </w:r>
    </w:p>
    <w:p w14:paraId="D6000000">
      <w:pPr>
        <w:pStyle w:val="Style_5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Кроме того, развитие Северного морского пути может дать импульс развитию крупных транспортных узлов, где Камчатский край выступит как стратегически важный субъект России, непосредственно определяющий возможности государства в создании эффективной северной транспортной системы. Также роль Камчатского края важна в решении транспортных вопросов соседних регионов. Все это в перспективе дает возможность для развития экспорта транспортно-логистических услуг для стран АТР. </w:t>
      </w:r>
    </w:p>
    <w:p w14:paraId="D7000000">
      <w:pPr>
        <w:pStyle w:val="Style_5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Развитие экспорта всех вышеперечисленных товаров и услуг, в том числе в смежных отраслях (судоремонт, услуги перевозок, продукция из дикоросов) заслуживает приоритетной поддержки федеральных и региональных органов государственной власти и соответствующих организаций. </w:t>
      </w:r>
    </w:p>
    <w:p w14:paraId="D8000000">
      <w:pPr>
        <w:pStyle w:val="Style_5"/>
        <w:ind w:firstLine="709" w:left="0"/>
        <w:contextualSpacing w:val="1"/>
        <w:jc w:val="both"/>
        <w:rPr>
          <w:sz w:val="28"/>
        </w:rPr>
      </w:pPr>
    </w:p>
    <w:tbl>
      <w:tblPr>
        <w:tblStyle w:val="Style_2"/>
        <w:tblW w:type="auto" w:w="0"/>
        <w:tblLayout w:type="fixed"/>
      </w:tblPr>
      <w:tblGrid>
        <w:gridCol w:w="8925"/>
        <w:gridCol w:w="2551"/>
        <w:gridCol w:w="3094"/>
      </w:tblGrid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Драйвер (инвестиционные проекты)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Ключевые страны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Ключевые экспортеры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современного морского рефрижераторного терминала по комплексному обслуживанию рыбопромысловых судов и организации перевалки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АТР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«СК Авача» 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производства по глубокой переработке морских биоресурсов на территории Камчатского края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АТР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Камчаттралфот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Переоборудование и модернизация рыболовецких судов, строительство производственных корпусов № 2 и № 3 Фабрики береговой обработки рыбы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АТР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РК </w:t>
            </w:r>
            <w:r>
              <w:rPr>
                <w:rFonts w:ascii="Times New Roman" w:hAnsi="Times New Roman"/>
                <w:sz w:val="24"/>
              </w:rPr>
              <w:t>им.В.И</w:t>
            </w:r>
            <w:r>
              <w:rPr>
                <w:rFonts w:ascii="Times New Roman" w:hAnsi="Times New Roman"/>
                <w:sz w:val="24"/>
              </w:rPr>
              <w:t xml:space="preserve">. Ленина 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Инвестиционный проект по строительству завода по переработке минтая и иных видов рыб большой мощности на территории Камчатского края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АТР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ВитязьАвто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Строительство и эксплуатация комплекса по производству товарного бетона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АТР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Автокамстрой</w:t>
            </w:r>
            <w:r>
              <w:rPr>
                <w:rFonts w:ascii="Times New Roman" w:hAnsi="Times New Roman"/>
                <w:sz w:val="24"/>
              </w:rPr>
              <w:t xml:space="preserve"> 41» 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Центр реабилитации, репродукции и сохранения редких видов хищных птиц на Камчатке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Арабского мира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«Соколиный центр Камчатка» 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Реконструкция международного аэропорта Петропавловск-Камчатский «Елизово»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АТР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«МАПК(Е)» 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Рыбоперерабатывающий завод «Колпакова»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АТР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ОАО «Колхоз Октябрь» 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ключевого инвестиционного проекта по созданию современного судоремонтного кластера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АТР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«Рем-Нова ДВ» 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морского СПГ-терминала в целях обеспечения доставки сжиженного природного газа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АТР</w:t>
            </w:r>
          </w:p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Индия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ПАО «Новатэк» </w:t>
            </w:r>
          </w:p>
        </w:tc>
      </w:tr>
      <w:tr>
        <w:tc>
          <w:tcPr>
            <w:tcW w:type="dxa" w:w="8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Якорный проект в сфере туризма, в рамках которого предполагается построить туристическую деревню, термальную лагуну и др. инфраструктурные объекты современного курорта международного уровня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Страны АТР, </w:t>
            </w: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СНГ</w:t>
            </w:r>
          </w:p>
        </w:tc>
        <w:tc>
          <w:tcPr>
            <w:tcW w:type="dxa" w:w="3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«Парк «Три вулкана» </w:t>
            </w:r>
          </w:p>
        </w:tc>
      </w:tr>
    </w:tbl>
    <w:p w14:paraId="FF000000">
      <w:pPr>
        <w:ind/>
        <w:jc w:val="center"/>
        <w:rPr>
          <w:rFonts w:ascii="Times New Roman" w:hAnsi="Times New Roman"/>
          <w:sz w:val="28"/>
        </w:rPr>
      </w:pPr>
    </w:p>
    <w:p w14:paraId="00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Существующие вызовы.</w:t>
      </w:r>
    </w:p>
    <w:p w14:paraId="0101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для ряда компаний фактором, ограничивающим экспортную деятельность, является также ориентация сбытовой политики на приоритетное удовлетворение спроса, имеющегося на внутрироссийском рынке, в том числе у части туристических услуг. </w:t>
      </w:r>
    </w:p>
    <w:p w14:paraId="0201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одним из ключевых внешних барьеров для развития экспортной деятельности является санкционная политика в отношении российских предприятий-экспортеров и ее возможное ужесточение, а также ограничения на поставку технологической продукции для отраслей российской промышленности в связи с нарастанием системных противоречий между Россией и странами Запада. </w:t>
      </w:r>
    </w:p>
    <w:p w14:paraId="0301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в сфере услуг не проводится подсчет статистических данных по объемам экспорта в денежном выражении. В этой связи первоначальной приоритетной задачей является сформировать единую прозрачную методику расчета объема оказания туристических услуг, среднего чека иностранного туриста </w:t>
      </w:r>
    </w:p>
    <w:p w14:paraId="04010000">
      <w:pPr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09"/>
        <w:gridCol w:w="6915"/>
        <w:gridCol w:w="7146"/>
      </w:tblGrid>
      <w:t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1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0601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п.п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10000">
            <w:pPr>
              <w:pStyle w:val="Style_3"/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Формулировка/Проблема</w:t>
            </w:r>
          </w:p>
        </w:tc>
        <w:tc>
          <w:tcPr>
            <w:tcW w:type="dxa" w:w="7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10000">
            <w:pPr>
              <w:pStyle w:val="Style_3"/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решения</w:t>
            </w:r>
          </w:p>
        </w:tc>
      </w:tr>
      <w:tr>
        <w:tc>
          <w:tcPr>
            <w:tcW w:type="dxa" w:w="50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1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9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недостаток конкурентоспособного продукта, ограниченность ассортимента товара, который может поставляться на экспорт</w:t>
            </w: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1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уникальных продуктов, продвижение товара с учетом акцентирования его экологических, уникальных, натуральных свойств</w:t>
            </w:r>
          </w:p>
        </w:tc>
      </w:tr>
      <w:tr>
        <w:tc>
          <w:tcPr>
            <w:tcW w:type="dxa" w:w="50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1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9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внешнеполитической ситуации, ввод санкций в отношении Российской Федерации</w:t>
            </w:r>
          </w:p>
        </w:tc>
        <w:tc>
          <w:tcPr>
            <w:tcW w:type="dxa" w:w="71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1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ориентирование на укрепление сотрудничества с дружественными странами</w:t>
            </w:r>
          </w:p>
        </w:tc>
      </w:tr>
      <w:tr>
        <w:trPr>
          <w:trHeight w:hRule="atLeast" w:val="653"/>
        </w:trPr>
        <w:tc>
          <w:tcPr>
            <w:tcW w:type="dxa" w:w="50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1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9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логистические ограничения в доставке до потенциальных стран партнеров из-за территориальной удаленности</w:t>
            </w:r>
          </w:p>
        </w:tc>
        <w:tc>
          <w:tcPr>
            <w:tcW w:type="dxa" w:w="71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1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транспортно-логистической инфраструктуры, Северного морского пути, прямого авиасообщения</w:t>
            </w:r>
          </w:p>
        </w:tc>
      </w:tr>
      <w:tr>
        <w:trPr>
          <w:trHeight w:hRule="atLeast" w:val="1231"/>
        </w:trPr>
        <w:tc>
          <w:tcPr>
            <w:tcW w:type="dxa" w:w="50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1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9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 себестоимость поставляемого товара: удорожание себестоимости за счет дорогой логистики, высокого уровня энергоресурсов, топлива – следовательно, дорогой, неконкурентоспособный, малопривлекательный продукт</w:t>
            </w:r>
          </w:p>
        </w:tc>
        <w:tc>
          <w:tcPr>
            <w:tcW w:type="dxa" w:w="71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1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субсидирование, комплексное развитие инфраструктуры</w:t>
            </w:r>
          </w:p>
        </w:tc>
      </w:tr>
      <w:tr>
        <w:trPr>
          <w:trHeight w:hRule="atLeast" w:val="1011"/>
        </w:trPr>
        <w:tc>
          <w:tcPr>
            <w:tcW w:type="dxa" w:w="50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1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9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в квалификационном справочнике профессий, требуемых бизнесу, отсутствие заказа от бизнеса на обучение кадров по ВЭД</w:t>
            </w:r>
          </w:p>
        </w:tc>
        <w:tc>
          <w:tcPr>
            <w:tcW w:type="dxa" w:w="71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1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налаживание взаимодействия между ВУЗами и бизнесом по вопросам подготовки кадров в сфере ВЭД; формирование престижности профессии</w:t>
            </w:r>
          </w:p>
        </w:tc>
      </w:tr>
      <w:tr>
        <w:trPr>
          <w:trHeight w:hRule="atLeast" w:val="563"/>
        </w:trPr>
        <w:tc>
          <w:tcPr>
            <w:tcW w:type="dxa" w:w="50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1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69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заинтересованность предпринимателей в экспортной деятельности</w:t>
            </w:r>
          </w:p>
        </w:tc>
        <w:tc>
          <w:tcPr>
            <w:tcW w:type="dxa" w:w="71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1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популяризация экспортной деятельности</w:t>
            </w:r>
          </w:p>
        </w:tc>
      </w:tr>
      <w:tr>
        <w:tc>
          <w:tcPr>
            <w:tcW w:type="dxa" w:w="50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1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69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недостаточные финансовые и нефинансовые меры поддержки</w:t>
            </w:r>
          </w:p>
        </w:tc>
        <w:tc>
          <w:tcPr>
            <w:tcW w:type="dxa" w:w="71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1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инструментов государственной поддержки на различных уровнях</w:t>
            </w:r>
          </w:p>
        </w:tc>
      </w:tr>
    </w:tbl>
    <w:p w14:paraId="1F010000">
      <w:pPr>
        <w:ind/>
        <w:jc w:val="both"/>
        <w:rPr>
          <w:rFonts w:ascii="Times New Roman" w:hAnsi="Times New Roman"/>
          <w:sz w:val="28"/>
        </w:rPr>
      </w:pPr>
    </w:p>
    <w:p w14:paraId="20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Цель и показатели региональной программы развития экспорта.</w:t>
      </w:r>
    </w:p>
    <w:p w14:paraId="21010000">
      <w:pPr>
        <w:ind/>
        <w:jc w:val="center"/>
        <w:rPr>
          <w:rFonts w:ascii="Times New Roman" w:hAnsi="Times New Roman"/>
          <w:sz w:val="16"/>
        </w:rPr>
      </w:pPr>
    </w:p>
    <w:tbl>
      <w:tblPr>
        <w:tblStyle w:val="Style_2"/>
        <w:tblW w:type="auto" w:w="0"/>
        <w:tblLayout w:type="fixed"/>
      </w:tblPr>
      <w:tblGrid>
        <w:gridCol w:w="582"/>
        <w:gridCol w:w="5257"/>
        <w:gridCol w:w="1265"/>
        <w:gridCol w:w="1501"/>
        <w:gridCol w:w="1011"/>
        <w:gridCol w:w="1179"/>
        <w:gridCol w:w="1135"/>
        <w:gridCol w:w="1134"/>
        <w:gridCol w:w="1503"/>
      </w:tblGrid>
      <w:tr>
        <w:trPr>
          <w:tblHeader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keepNext w:val="1"/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п.п</w:t>
            </w:r>
          </w:p>
        </w:tc>
        <w:tc>
          <w:tcPr>
            <w:tcW w:type="dxa" w:w="5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keepNext w:val="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цели, показателя</w:t>
            </w:r>
          </w:p>
        </w:tc>
        <w:tc>
          <w:tcPr>
            <w:tcW w:type="dxa" w:w="27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59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Период, год</w:t>
            </w:r>
          </w:p>
        </w:tc>
      </w:tr>
      <w:tr>
        <w:trPr>
          <w:tblHeader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keepNext w:val="1"/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keepNext w:val="1"/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Дата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2023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2024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2026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2030</w:t>
            </w:r>
          </w:p>
        </w:tc>
      </w:tr>
      <w:tr>
        <w:trPr>
          <w:tblHeader/>
        </w:trPr>
        <w:tc>
          <w:tcPr>
            <w:tcW w:type="dxa" w:w="1456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keepNext w:val="1"/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Увеличение несырьевого неэнергетического экспорта Камчатского края на 75% к 2030 году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keepNext w:val="1"/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экспорта, всего, млн долл. США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31.12.2021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1280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1470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keepNext w:val="1"/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Реальный рост ННЭ, в % к 2020 году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31.12.2021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keepNext w:val="1"/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Количество экспортеров, являющихся субъектами МСП, ед.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keepNext w:val="1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/>
              </w:rPr>
              <w:t>31.12.2021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</w:tr>
    </w:tbl>
    <w:p w14:paraId="4B010000"/>
    <w:p w14:paraId="4C010000"/>
    <w:p w14:paraId="4D010000"/>
    <w:p w14:paraId="4E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Перечень мероприятий Региональной экспортной программы Камчатского края до 2027 года.</w:t>
      </w:r>
    </w:p>
    <w:p w14:paraId="4F010000">
      <w:pPr>
        <w:ind/>
        <w:jc w:val="center"/>
        <w:rPr>
          <w:rFonts w:ascii="Times New Roman" w:hAnsi="Times New Roman"/>
          <w:sz w:val="18"/>
        </w:rPr>
      </w:pPr>
    </w:p>
    <w:tbl>
      <w:tblPr>
        <w:tblStyle w:val="Style_6"/>
        <w:tblW w:type="auto" w:w="0"/>
        <w:tblLayout w:type="fixed"/>
      </w:tblPr>
      <w:tblGrid>
        <w:gridCol w:w="684"/>
        <w:gridCol w:w="3539"/>
        <w:gridCol w:w="2371"/>
        <w:gridCol w:w="2655"/>
        <w:gridCol w:w="657"/>
        <w:gridCol w:w="687"/>
        <w:gridCol w:w="655"/>
        <w:gridCol w:w="657"/>
        <w:gridCol w:w="2665"/>
      </w:tblGrid>
      <w:tr>
        <w:tc>
          <w:tcPr>
            <w:tcW w:type="dxa" w:w="684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353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type="dxa" w:w="237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type="dxa" w:w="5311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реализации по годам</w:t>
            </w:r>
          </w:p>
        </w:tc>
        <w:tc>
          <w:tcPr>
            <w:tcW w:type="dxa" w:w="266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программа, в рамках которой предусмотрено финансирование</w:t>
            </w:r>
          </w:p>
        </w:tc>
      </w:tr>
      <w:tr>
        <w:tc>
          <w:tcPr>
            <w:tcW w:type="dxa" w:w="684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3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результата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type="dxa" w:w="266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31"/>
        </w:trPr>
        <w:tc>
          <w:tcPr>
            <w:tcW w:type="dxa" w:w="14570"/>
            <w:gridSpan w:val="9"/>
            <w:shd w:themeFill="accent6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7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Организационные мероприятия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мероприятий, предусмотренных региональными проектами «Системные меры развития международной кооперации и экспорта», «Экспорт продукции АПК», «Акселерация субъектов малого и среднего предпринимательства»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5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рыбного хозяйства Камчатского края</w:t>
            </w:r>
          </w:p>
          <w:p w14:paraId="5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экономического развития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достижения показателей региональных проектов, %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3"/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3"/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3"/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3"/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3"/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Камчатского края «Развитие экономики и внешнеэкономической деятельности Камчатского края», утвержденная постановлением Правительства Камчатского края от 01.07.2021 № 277-П;</w:t>
            </w:r>
          </w:p>
          <w:p w14:paraId="66010000">
            <w:pPr>
              <w:pStyle w:val="Style_3"/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(далее – ГП «Развитие экономики и внешнеэкономической деятельности Камчатского края»);</w:t>
            </w:r>
          </w:p>
          <w:p w14:paraId="6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Камчатского края «Развитие внутреннего и въездного туризма в Камчатском крае», утвержденная постановлением Правительства Камчатского края от 01.07.2021 № 277-П</w:t>
            </w:r>
          </w:p>
          <w:p w14:paraId="6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(далее – ГП «Развитие внутреннего и въездного туризма в Камчатском крае»)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Совета по внешнеэкономической деятельности при Губернаторе Камчатского края 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6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заседаний,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заседаний Рабочей группы по улучшению инвестиционного климата по направлению «Экспорт»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7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заседаний,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rPr>
          <w:trHeight w:hRule="atLeast" w:val="2252"/>
        </w:trP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экспортного аудита в Камчатском крае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8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  <w:p w14:paraId="8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Торгов-промышленная палата Камчатского края (по согласованию)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 итогах экспортного аудита,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нормативной правовой базы по направлению внешнеэкономической деятельности в Камчатском крае 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 актуализации нормативной правовой базы,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отдельных планов развития сотрудничества с зарубежными странами, выделенными как приоритетные </w:t>
            </w:r>
            <w:r>
              <w:rPr>
                <w:rFonts w:ascii="Times New Roman" w:hAnsi="Times New Roman"/>
              </w:rPr>
              <w:t>для развития международного сотрудничества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9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Торгов-промышленная палата Камчатского края (по согласованию)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развития сотрудничества (по каждой конкретной стране, включенной в </w:t>
            </w:r>
            <w:r>
              <w:rPr>
                <w:rFonts w:ascii="Times New Roman" w:hAnsi="Times New Roman"/>
              </w:rPr>
              <w:t>список приоритетных),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rPr>
          <w:trHeight w:hRule="atLeast" w:val="533"/>
        </w:trPr>
        <w:tc>
          <w:tcPr>
            <w:tcW w:type="dxa" w:w="14570"/>
            <w:gridSpan w:val="9"/>
            <w:shd w:themeFill="accent6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7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Продвижение экспортной деятельности в Камчатском крае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ЦПЭ как «единого окна» по сбору информации о проблемах, с которыми сталкиваются экспортёры, о сырье, оборудовании и комплектующих для производства экспортируемых товаров, ранее импортировавшихся из стран, присоединившихся к санкциям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Отчет, ед.</w:t>
            </w:r>
          </w:p>
          <w:p w14:paraId="A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A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базы экспортеров Камчатского края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Актуальная база экспортеров размещена на сайте ЦПЭ,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сводного перечня экспортно-ориентированных предприятий Камчатского края, заинтересованных в продвижении товаров/услуг на внешний рынок с ранжированием степени зрелости выхода на внешний рынок, формирование предложений по организации необходимых мероприятий для повышения степени зрелости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B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  <w:p w14:paraId="B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 перечень,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информационно-консультационных мероприятий для экспортеров и экспортно- ориентированных субъектов МСП </w:t>
            </w:r>
            <w:r>
              <w:rPr>
                <w:rFonts w:ascii="Times New Roman" w:hAnsi="Times New Roman"/>
              </w:rPr>
              <w:t>по выходу на новые рынки зарубежных стран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публикаций,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опроса среди экспортеров и экспортно-ориентированных предприятий по возникающим проблемам при осуществлении экспорта, необходимым мерам поддержки, сбор предложений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опросов,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экспортного каталога Камчатского края на русском и английском языках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D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  <w:p w14:paraId="D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Актуальный каталог размещен на сайте ЦПЭ,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«Развитие внутреннего и въездного туризма в Камчатском крае»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презентаций новинок (товары\услуги) предпринимателей, ориентированных на зарубежные рынки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D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поддержки предпринимательства Камчатского края </w:t>
            </w:r>
          </w:p>
          <w:p w14:paraId="D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«Развитие внутреннего и въездного туризма в Камчатском крае»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межрегиональных мероприятий с привлечением действующих и потенциальных экспортеров Камчатского края с </w:t>
            </w:r>
            <w:r>
              <w:rPr>
                <w:rFonts w:ascii="Times New Roman" w:hAnsi="Times New Roman"/>
              </w:rPr>
              <w:t>целью обмена опытом и историями успеха по выходу на внешний рынок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ГП «Развитие экономики и внешнеэкономической </w:t>
            </w:r>
            <w:r>
              <w:rPr>
                <w:rFonts w:ascii="Times New Roman" w:hAnsi="Times New Roman"/>
              </w:rPr>
              <w:t>деятельности Камчатского края»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информационных ресурсах материалов об особенностях ведения внешнеторговой деятельности, о принимаемых мерах поддержки и решениях, затрагивающих внешнеторговую деятельность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E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рыбного хозяйства Камчатского края</w:t>
            </w:r>
          </w:p>
          <w:p w14:paraId="F0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экономического развития Камчатского края</w:t>
            </w:r>
          </w:p>
          <w:p w14:paraId="F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  <w:p w14:paraId="F2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публикаций, всего,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Продвижение товаров (услуг) Камчатского края на международных электронных торговых площадках (ЭТП)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предприятий, размещенных на ЭТП,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«Развитие экономики и внешнеэкономической деятельности Камчатского края»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Популяризация преимуществ использования механизма электронной торговли для выхода на экспорт 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0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публикаций,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регионального конкурса «Экспортер года», оказание поддержки по направлению документов для участия на окружном и федеральном уровнях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0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конкурсов,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ГП «Развитие экономики и внешнеэкономической деятельности Камчатского края»</w:t>
            </w:r>
          </w:p>
        </w:tc>
      </w:tr>
      <w:tr>
        <w:trPr>
          <w:trHeight w:hRule="atLeast" w:val="552"/>
        </w:trPr>
        <w:tc>
          <w:tcPr>
            <w:tcW w:type="dxa" w:w="14570"/>
            <w:gridSpan w:val="9"/>
            <w:shd w:themeFill="accent6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7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Налаживание сотрудничества с зарубежными партнерами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Налаживание взаимодействия с дипломатическими и торговыми представительствами, общественными объединениями, палатами и ассоциациями зарубежных стран, не присоединившихся к санкциям против Российской Федерации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1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Представительство МИД России в г. Петропавловске-Камчатском (по согласованию)</w:t>
            </w:r>
          </w:p>
          <w:p w14:paraId="1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контактов,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  <w:highlight w:val="white"/>
              </w:rPr>
              <w:t>межправительственных комиссиях по торгово-экономическому и научно-техническому сотрудничеству и др.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2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(с привлечением исполнительных органов Камчатского края по направлениям экономики и социальной политики)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мероприятий, в которых принято участие,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партнеров в иностранных государствах, не включённых в список недружественных стран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2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мероприятий по поиску новых партнеров,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«Развитие экономики и внешнеэкономической деятельности Камчатского края»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B2B встреч с представителями бизнес-сообщества в рамках визитов иностранных делегаций в Камчатский край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встреч,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«Развитие внутреннего и въездного туризма в Камчатском крае»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участия делегации Камчатского края в международных </w:t>
            </w:r>
            <w:r>
              <w:rPr>
                <w:rFonts w:ascii="Times New Roman" w:hAnsi="Times New Roman"/>
              </w:rPr>
              <w:t>выставочно</w:t>
            </w:r>
            <w:r>
              <w:rPr>
                <w:rFonts w:ascii="Times New Roman" w:hAnsi="Times New Roman"/>
              </w:rPr>
              <w:t>-ярмарочных мероприятиях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мероприятий, в которых организовано участие Камчатского края,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«Развитие внутреннего и въездного туризма в Камчатском крае»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участия субъектов МСП в международных </w:t>
            </w:r>
            <w:r>
              <w:rPr>
                <w:rFonts w:ascii="Times New Roman" w:hAnsi="Times New Roman"/>
              </w:rPr>
              <w:t>выставочно</w:t>
            </w:r>
            <w:r>
              <w:rPr>
                <w:rFonts w:ascii="Times New Roman" w:hAnsi="Times New Roman"/>
              </w:rPr>
              <w:t>-ярмарочных мероприятиях в Российской Федерации и за рубежом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мероприятий, в которых организовано участие представителей МСП Камчатского края,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«Развитие внутреннего и въездного туризма в Камчатском крае»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бизнес-миссий в дружественные страны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организованных бизнес-миссий,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«Развитие внутреннего и въездного туризма в Камчатском крае»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каталога экспортеров и экспортно-ориентированных предприятий Камчатского края в адрес Торговых представительств Российской Федерации в зарубежных странах (из числа дружественных), дипломатических представительств, общественных объединений и ассоциаций зарубежных стран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5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Представительство МИД России в г. Петропавловске-Камчатском (по согласованию)</w:t>
            </w:r>
          </w:p>
          <w:p w14:paraId="5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представительств, к которые направлен каталог,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публикаций об экспортном и туристическом потенциале Камчатского края в зарубежных СМИ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6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публикаций,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«Развитие внутреннего и въездного туризма в Камчатском крае»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анализа узнаваемости бренда Камчатского края на приоритетных зарубежных рынках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7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 отчет по итогам проведенного анализа,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«Развитие внутреннего и въездного туризма в Камчатском крае»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выдачи сертификатов соответствия товара установленным требованиям в электронном виде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Торгово-промышленная палата Камчатского края (по согласованию)</w:t>
            </w:r>
          </w:p>
          <w:p w14:paraId="7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7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выданных сертификатов в электронном виде, %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присутствия Камчатского края в зарубежных странах путем открытия представительства (в том числе на базе площадок АО «РЭЦ», Торговых представительств Российской Федерации и т.д.)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8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представительств Камчатского края в зарубежных странах,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уточняется</w:t>
            </w:r>
          </w:p>
        </w:tc>
      </w:tr>
      <w:tr>
        <w:trPr>
          <w:trHeight w:hRule="atLeast" w:val="551"/>
        </w:trPr>
        <w:tc>
          <w:tcPr>
            <w:tcW w:type="dxa" w:w="14570"/>
            <w:gridSpan w:val="9"/>
            <w:shd w:themeFill="accent6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7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Организация образовательных мероприятий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высшими учебными заведениями по вопросам мониторинга востребованности профессий в сфере внешнеэкономической деятельности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9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 отчет о мониторинге востребованности профессий в сфере внешнеэкономической деятельности,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практики для студентов высших учебных заведений Камчатского края, обучающихся по направлениям ВЭД, в учреждениях и на предприятиях, ориентированных на развитие экспортной деятельности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9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студентов, прошедших практику в учреждениях и на предприятиях, ориентированных на развитие экспортной деятельности, чел. 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Продвижение работы Школы экспорта в Камчатском крае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A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поддержки экспорта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публикаций о Школе экспорта,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участия в акселерационных программах для потенциальных экспортеров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публикаций об акселерационной программе,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образовательных мероприятий для Управленческой команды по развитию экспортной деятельности в Камчатском крае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туризма Камчатского края</w:t>
            </w:r>
          </w:p>
          <w:p w14:paraId="B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Дальневосточный филиал ФГБО УВО «Всероссийская академия внешней торговли Министерства экономического развития Российской Федерации» (по согласованию)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 мероприятий,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учреждений</w:t>
            </w:r>
          </w:p>
        </w:tc>
      </w:tr>
      <w:tr>
        <w:tc>
          <w:tcPr>
            <w:tcW w:type="dxa" w:w="14570"/>
            <w:gridSpan w:val="9"/>
            <w:shd w:themeFill="accent6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7"/>
              <w:numPr>
                <w:ilvl w:val="0"/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Развитие международного гуманитарного сотрудничества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совместных спортивных мероприятий с зарубежными спортсменами на </w:t>
            </w:r>
            <w:r>
              <w:rPr>
                <w:rFonts w:ascii="Times New Roman" w:hAnsi="Times New Roman"/>
              </w:rPr>
              <w:t>территории Камчатского края и зарубежных стран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спорта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spacing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Камчатского края «Развитие </w:t>
            </w:r>
            <w:r>
              <w:rPr>
                <w:rFonts w:ascii="Times New Roman" w:hAnsi="Times New Roman"/>
              </w:rPr>
              <w:t>физической культуры и спорта в Камчатском крае», утвержденная постановлением Правительства Камчатского края от 29.11.2013 № 552-П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опытом и организация совместных культурных мероприятий с представителями зарубежных стран по направлениям библиотечного дела, музейного дела, театрального искусства и т.д.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Камчатского края «Развитие культуры в Камчатском крае», утвержденная постановлением Правительства Камчатского края от 29.11.2013 № 545-П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опытом по развитию социальных проектов с партнерами из зарубежных стран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Исполнительные органы Камчатского края </w:t>
            </w:r>
          </w:p>
          <w:p w14:paraId="D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(по направлениям сферы деятельности)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Приглашение представителей зарубежных стран к участию в ежегодных </w:t>
            </w:r>
            <w:r>
              <w:rPr>
                <w:rFonts w:ascii="Times New Roman" w:hAnsi="Times New Roman"/>
              </w:rPr>
              <w:t>конгрессно</w:t>
            </w:r>
            <w:r>
              <w:rPr>
                <w:rFonts w:ascii="Times New Roman" w:hAnsi="Times New Roman"/>
              </w:rPr>
              <w:t>-выставочных и ярмарочных мероприятиях, направленных на развитие социальных проектов (в сфере экологии, туризма, культурно-национального наследия и т.д.)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Исполнительные органы Камчатского края </w:t>
            </w:r>
          </w:p>
          <w:p w14:paraId="E0020000">
            <w:pPr>
              <w:spacing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(по направлениям сферы деятельности)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направленных приглашений,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совместных научно-образовательных мероприятий с представителями зарубежных стран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Камчатского края</w:t>
            </w:r>
          </w:p>
          <w:p w14:paraId="EA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Образовательные организации высшего образования, научные организации, расположенные на территории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spacing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spacing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spacing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spacing w:line="240" w:lineRule="auto"/>
              <w:ind/>
              <w:jc w:val="center"/>
              <w:rPr>
                <w:strike w:val="1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уточняется</w:t>
            </w:r>
          </w:p>
        </w:tc>
      </w:tr>
      <w:tr>
        <w:trPr>
          <w:trHeight w:hRule="atLeast" w:val="1971"/>
        </w:trP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F2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взаимодействия между </w:t>
            </w:r>
            <w:r>
              <w:rPr>
                <w:rFonts w:ascii="Times New Roman" w:hAnsi="Times New Roman"/>
                <w:sz w:val="24"/>
              </w:rPr>
              <w:t xml:space="preserve">образовательными организациями высшего образования, научными организациями, расположенными на территории Камчатского края, с зарубежными странами </w:t>
            </w:r>
            <w:r>
              <w:rPr>
                <w:rFonts w:ascii="Times New Roman" w:hAnsi="Times New Roman"/>
              </w:rPr>
              <w:t>с целью реализации совместных программ по обмену студентами, преподавателями, организации совместных мероприятий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Камчатского края</w:t>
            </w:r>
          </w:p>
          <w:p w14:paraId="F5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Образовательные организации высшего образования, расположенные на территории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взаимодействия между научными </w:t>
            </w:r>
            <w:r>
              <w:rPr>
                <w:rFonts w:ascii="Times New Roman" w:hAnsi="Times New Roman"/>
                <w:sz w:val="24"/>
              </w:rPr>
              <w:t xml:space="preserve">организациями, расположенными на территории Камчатского края, с зарубежными странами </w:t>
            </w:r>
            <w:r>
              <w:rPr>
                <w:rFonts w:ascii="Times New Roman" w:hAnsi="Times New Roman"/>
              </w:rPr>
              <w:t>с целью обмена опытом, проведения исследований и т.д.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Камчатского края</w:t>
            </w:r>
          </w:p>
          <w:p w14:paraId="FF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Научные организации, расположенные на территории Камчатского края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spacing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  <w:tr>
        <w:tc>
          <w:tcPr>
            <w:tcW w:type="dxa" w:w="6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5.8.</w:t>
            </w:r>
          </w:p>
        </w:tc>
        <w:tc>
          <w:tcPr>
            <w:tcW w:type="dxa" w:w="35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взаимодействия с городами-побратимами, установление новых побратимских связей с городами зарубежных стран</w:t>
            </w:r>
          </w:p>
        </w:tc>
        <w:tc>
          <w:tcPr>
            <w:tcW w:type="dxa" w:w="2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Петропавловск-Камчатского городского округа</w:t>
            </w:r>
          </w:p>
          <w:p w14:paraId="09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Елизовское городское поселение</w:t>
            </w:r>
          </w:p>
        </w:tc>
        <w:tc>
          <w:tcPr>
            <w:tcW w:type="dxa" w:w="2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мероприятий/заключенных соглашений, ед.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spacing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</w:tr>
    </w:tbl>
    <w:p w14:paraId="10030000">
      <w:pPr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headerReference r:id="rId2" w:type="first"/>
      <w:pgSz w:h="11906" w:orient="landscape" w:w="16838"/>
      <w:pgMar w:bottom="850" w:footer="0" w:gutter="0" w:header="567" w:left="1134" w:right="1134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</w:rPr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160" w:line="264" w:lineRule="auto"/>
      <w:ind/>
    </w:pPr>
  </w:style>
  <w:style w:default="1" w:styleId="Style_8_ch" w:type="character">
    <w:name w:val="Normal"/>
    <w:link w:val="Style_8"/>
  </w:style>
  <w:style w:styleId="Style_5" w:type="paragraph">
    <w:name w:val="Default"/>
    <w:link w:val="Style_5_ch"/>
    <w:rPr>
      <w:rFonts w:ascii="Times New Roman" w:hAnsi="Times New Roman"/>
      <w:sz w:val="24"/>
    </w:rPr>
  </w:style>
  <w:style w:styleId="Style_5_ch" w:type="character">
    <w:name w:val="Default"/>
    <w:link w:val="Style_5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tents 7"/>
    <w:link w:val="Style_10_ch"/>
    <w:rPr>
      <w:rFonts w:ascii="XO Thames" w:hAnsi="XO Thames"/>
      <w:sz w:val="28"/>
    </w:rPr>
  </w:style>
  <w:style w:styleId="Style_10_ch" w:type="character">
    <w:name w:val="Contents 7"/>
    <w:link w:val="Style_10"/>
    <w:rPr>
      <w:rFonts w:ascii="XO Thames" w:hAnsi="XO Thames"/>
      <w:sz w:val="28"/>
    </w:rPr>
  </w:style>
  <w:style w:styleId="Style_11" w:type="paragraph">
    <w:name w:val="Нижний колонтитул1"/>
    <w:link w:val="Style_11_ch"/>
  </w:style>
  <w:style w:styleId="Style_11_ch" w:type="character">
    <w:name w:val="Нижний колонтитул1"/>
    <w:link w:val="Style_11"/>
  </w:style>
  <w:style w:styleId="Style_12" w:type="paragraph">
    <w:name w:val="toc 4"/>
    <w:next w:val="Style_8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Содержимое врезки"/>
    <w:basedOn w:val="Style_8"/>
    <w:link w:val="Style_14_ch"/>
  </w:style>
  <w:style w:styleId="Style_14_ch" w:type="character">
    <w:name w:val="Содержимое врезки"/>
    <w:basedOn w:val="Style_8_ch"/>
    <w:link w:val="Style_14"/>
  </w:style>
  <w:style w:styleId="Style_15" w:type="paragraph">
    <w:name w:val="toc 7"/>
    <w:next w:val="Style_8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ontents 2"/>
    <w:link w:val="Style_16_ch"/>
    <w:rPr>
      <w:rFonts w:ascii="XO Thames" w:hAnsi="XO Thames"/>
      <w:sz w:val="28"/>
    </w:rPr>
  </w:style>
  <w:style w:styleId="Style_16_ch" w:type="character">
    <w:name w:val="Contents 2"/>
    <w:link w:val="Style_16"/>
    <w:rPr>
      <w:rFonts w:ascii="XO Thames" w:hAnsi="XO Thames"/>
      <w:sz w:val="28"/>
    </w:rPr>
  </w:style>
  <w:style w:styleId="Style_17" w:type="paragraph">
    <w:name w:val="Заголовок 41"/>
    <w:link w:val="Style_17_ch"/>
    <w:rPr>
      <w:rFonts w:ascii="XO Thames" w:hAnsi="XO Thames"/>
      <w:b w:val="1"/>
      <w:sz w:val="24"/>
    </w:rPr>
  </w:style>
  <w:style w:styleId="Style_17_ch" w:type="character">
    <w:name w:val="Заголовок 41"/>
    <w:link w:val="Style_17"/>
    <w:rPr>
      <w:rFonts w:ascii="XO Thames" w:hAnsi="XO Thames"/>
      <w:b w:val="1"/>
      <w:sz w:val="24"/>
    </w:rPr>
  </w:style>
  <w:style w:styleId="Style_18" w:type="paragraph">
    <w:name w:val="Contents 6"/>
    <w:link w:val="Style_18_ch"/>
    <w:rPr>
      <w:rFonts w:ascii="XO Thames" w:hAnsi="XO Thames"/>
      <w:sz w:val="28"/>
    </w:rPr>
  </w:style>
  <w:style w:styleId="Style_18_ch" w:type="character">
    <w:name w:val="Contents 6"/>
    <w:link w:val="Style_18"/>
    <w:rPr>
      <w:rFonts w:ascii="XO Thames" w:hAnsi="XO Thames"/>
      <w:sz w:val="28"/>
    </w:rPr>
  </w:style>
  <w:style w:styleId="Style_19" w:type="paragraph">
    <w:name w:val="caption"/>
    <w:basedOn w:val="Style_8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8_ch"/>
    <w:link w:val="Style_19"/>
    <w:rPr>
      <w:i w:val="1"/>
      <w:sz w:val="24"/>
    </w:rPr>
  </w:style>
  <w:style w:styleId="Style_20" w:type="paragraph">
    <w:name w:val="Заголовок 21"/>
    <w:link w:val="Style_20_ch"/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Заголовок 21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Endnote"/>
    <w:link w:val="Style_21"/>
    <w:rPr>
      <w:rFonts w:ascii="XO Thames" w:hAnsi="XO Thames"/>
    </w:rPr>
  </w:style>
  <w:style w:styleId="Style_22" w:type="paragraph">
    <w:name w:val="heading 3"/>
    <w:link w:val="Style_22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23" w:type="paragraph">
    <w:name w:val="Internet link"/>
    <w:link w:val="Style_23_ch"/>
    <w:rPr>
      <w:rFonts w:ascii="Calibri" w:hAnsi="Calibri"/>
      <w:color w:val="0000FF"/>
      <w:u w:val="single"/>
    </w:rPr>
  </w:style>
  <w:style w:styleId="Style_23_ch" w:type="character">
    <w:name w:val="Internet link"/>
    <w:link w:val="Style_23"/>
    <w:rPr>
      <w:rFonts w:ascii="Calibri" w:hAnsi="Calibri"/>
      <w:color w:val="0000FF"/>
      <w:u w:val="single"/>
    </w:rPr>
  </w:style>
  <w:style w:styleId="Style_24" w:type="paragraph">
    <w:name w:val="Гиперссылка1"/>
    <w:link w:val="Style_24_ch"/>
    <w:rPr>
      <w:rFonts w:ascii="Calibri" w:hAnsi="Calibri"/>
      <w:color w:val="0000FF"/>
      <w:u w:val="single"/>
    </w:rPr>
  </w:style>
  <w:style w:styleId="Style_24_ch" w:type="character">
    <w:name w:val="Гиперссылка1"/>
    <w:link w:val="Style_24"/>
    <w:rPr>
      <w:rFonts w:ascii="Calibri" w:hAnsi="Calibri"/>
      <w:color w:val="0000FF"/>
      <w:u w:val="single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4" w:type="paragraph">
    <w:name w:val="Обычный1"/>
    <w:link w:val="Style_4_ch"/>
    <w:rPr>
      <w:rFonts w:asciiTheme="minorAscii" w:hAnsiTheme="minorHAnsi"/>
      <w:color w:val="000000"/>
      <w:spacing w:val="0"/>
      <w:sz w:val="22"/>
    </w:rPr>
  </w:style>
  <w:style w:styleId="Style_4_ch" w:type="character">
    <w:name w:val="Обычный1"/>
    <w:link w:val="Style_4"/>
    <w:rPr>
      <w:rFonts w:asciiTheme="minorAscii" w:hAnsiTheme="minorHAnsi"/>
      <w:color w:val="000000"/>
      <w:spacing w:val="0"/>
      <w:sz w:val="22"/>
    </w:rPr>
  </w:style>
  <w:style w:styleId="Style_26" w:type="paragraph">
    <w:name w:val="Заголовок2"/>
    <w:basedOn w:val="Style_4"/>
    <w:link w:val="Style_26_ch"/>
    <w:rPr>
      <w:rFonts w:ascii="Liberation Sans" w:hAnsi="Liberation Sans"/>
      <w:color w:val="000000"/>
      <w:spacing w:val="0"/>
      <w:sz w:val="28"/>
    </w:rPr>
  </w:style>
  <w:style w:styleId="Style_26_ch" w:type="character">
    <w:name w:val="Заголовок2"/>
    <w:basedOn w:val="Style_4_ch"/>
    <w:link w:val="Style_26"/>
    <w:rPr>
      <w:rFonts w:ascii="Liberation Sans" w:hAnsi="Liberation Sans"/>
      <w:color w:val="000000"/>
      <w:spacing w:val="0"/>
      <w:sz w:val="28"/>
    </w:rPr>
  </w:style>
  <w:style w:styleId="Style_27" w:type="paragraph">
    <w:name w:val="Список1"/>
    <w:basedOn w:val="Style_28"/>
    <w:link w:val="Style_27_ch"/>
  </w:style>
  <w:style w:styleId="Style_27_ch" w:type="character">
    <w:name w:val="Список1"/>
    <w:basedOn w:val="Style_28_ch"/>
    <w:link w:val="Style_27"/>
  </w:style>
  <w:style w:styleId="Style_3" w:type="paragraph">
    <w:name w:val="Содержимое таблицы"/>
    <w:basedOn w:val="Style_8"/>
    <w:link w:val="Style_3_ch"/>
    <w:pPr>
      <w:widowControl w:val="0"/>
      <w:ind/>
    </w:pPr>
  </w:style>
  <w:style w:styleId="Style_3_ch" w:type="character">
    <w:name w:val="Содержимое таблицы"/>
    <w:basedOn w:val="Style_8_ch"/>
    <w:link w:val="Style_3"/>
  </w:style>
  <w:style w:styleId="Style_29" w:type="paragraph">
    <w:name w:val="Название объекта1"/>
    <w:basedOn w:val="Style_4"/>
    <w:link w:val="Style_29_ch"/>
    <w:rPr>
      <w:rFonts w:asciiTheme="minorAscii" w:hAnsiTheme="minorHAnsi"/>
      <w:i w:val="1"/>
      <w:color w:val="000000"/>
      <w:spacing w:val="0"/>
      <w:sz w:val="24"/>
    </w:rPr>
  </w:style>
  <w:style w:styleId="Style_29_ch" w:type="character">
    <w:name w:val="Название объекта1"/>
    <w:basedOn w:val="Style_4_ch"/>
    <w:link w:val="Style_29"/>
    <w:rPr>
      <w:rFonts w:asciiTheme="minorAscii" w:hAnsiTheme="minorHAnsi"/>
      <w:i w:val="1"/>
      <w:color w:val="000000"/>
      <w:spacing w:val="0"/>
      <w:sz w:val="24"/>
    </w:rPr>
  </w:style>
  <w:style w:styleId="Style_30" w:type="paragraph">
    <w:name w:val="Указатель1"/>
    <w:basedOn w:val="Style_4"/>
    <w:link w:val="Style_30_ch"/>
    <w:rPr>
      <w:rFonts w:asciiTheme="minorAscii" w:hAnsiTheme="minorHAnsi"/>
      <w:color w:val="000000"/>
      <w:spacing w:val="0"/>
      <w:sz w:val="22"/>
    </w:rPr>
  </w:style>
  <w:style w:styleId="Style_30_ch" w:type="character">
    <w:name w:val="Указатель1"/>
    <w:basedOn w:val="Style_4_ch"/>
    <w:link w:val="Style_30"/>
    <w:rPr>
      <w:rFonts w:asciiTheme="minorAscii" w:hAnsiTheme="minorHAnsi"/>
      <w:color w:val="000000"/>
      <w:spacing w:val="0"/>
      <w:sz w:val="22"/>
    </w:rPr>
  </w:style>
  <w:style w:styleId="Style_31" w:type="paragraph">
    <w:name w:val="Contents 8"/>
    <w:link w:val="Style_31_ch"/>
    <w:rPr>
      <w:rFonts w:ascii="XO Thames" w:hAnsi="XO Thames"/>
      <w:sz w:val="28"/>
    </w:rPr>
  </w:style>
  <w:style w:styleId="Style_31_ch" w:type="character">
    <w:name w:val="Contents 8"/>
    <w:link w:val="Style_31"/>
    <w:rPr>
      <w:rFonts w:ascii="XO Thames" w:hAnsi="XO Thames"/>
      <w:sz w:val="28"/>
    </w:rPr>
  </w:style>
  <w:style w:styleId="Style_32" w:type="paragraph">
    <w:name w:val="toc 3"/>
    <w:next w:val="Style_8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Contents 5"/>
    <w:link w:val="Style_33_ch"/>
    <w:rPr>
      <w:rFonts w:ascii="XO Thames" w:hAnsi="XO Thames"/>
      <w:sz w:val="28"/>
    </w:rPr>
  </w:style>
  <w:style w:styleId="Style_33_ch" w:type="character">
    <w:name w:val="Contents 5"/>
    <w:link w:val="Style_33"/>
    <w:rPr>
      <w:rFonts w:ascii="XO Thames" w:hAnsi="XO Thames"/>
      <w:sz w:val="28"/>
    </w:rPr>
  </w:style>
  <w:style w:styleId="Style_34" w:type="paragraph">
    <w:name w:val="Заголовок3"/>
    <w:link w:val="Style_34_ch"/>
    <w:rPr>
      <w:rFonts w:ascii="XO Thames" w:hAnsi="XO Thames"/>
      <w:b w:val="1"/>
      <w:caps w:val="1"/>
      <w:color w:val="000000"/>
      <w:spacing w:val="0"/>
      <w:sz w:val="40"/>
    </w:rPr>
  </w:style>
  <w:style w:styleId="Style_34_ch" w:type="character">
    <w:name w:val="Заголовок3"/>
    <w:link w:val="Style_34"/>
    <w:rPr>
      <w:rFonts w:ascii="XO Thames" w:hAnsi="XO Thames"/>
      <w:b w:val="1"/>
      <w:caps w:val="1"/>
      <w:color w:val="000000"/>
      <w:spacing w:val="0"/>
      <w:sz w:val="40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index heading"/>
    <w:basedOn w:val="Style_8"/>
    <w:link w:val="Style_36_ch"/>
  </w:style>
  <w:style w:styleId="Style_36_ch" w:type="character">
    <w:name w:val="index heading"/>
    <w:basedOn w:val="Style_8_ch"/>
    <w:link w:val="Style_36"/>
  </w:style>
  <w:style w:styleId="Style_37" w:type="paragraph">
    <w:name w:val="heading 5"/>
    <w:link w:val="Style_37_ch"/>
    <w:uiPriority w:val="9"/>
    <w:qFormat/>
    <w:pPr>
      <w:ind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28" w:type="paragraph">
    <w:name w:val="Text body"/>
    <w:link w:val="Style_28_ch"/>
  </w:style>
  <w:style w:styleId="Style_28_ch" w:type="character">
    <w:name w:val="Text body"/>
    <w:link w:val="Style_28"/>
  </w:style>
  <w:style w:styleId="Style_38" w:type="paragraph">
    <w:name w:val="heading 1"/>
    <w:next w:val="Style_8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toc 1"/>
    <w:next w:val="Style_8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Подзаголовок1"/>
    <w:link w:val="Style_42_ch"/>
    <w:rPr>
      <w:rFonts w:ascii="XO Thames" w:hAnsi="XO Thames"/>
      <w:i w:val="1"/>
      <w:color w:val="000000"/>
      <w:spacing w:val="0"/>
      <w:sz w:val="24"/>
    </w:rPr>
  </w:style>
  <w:style w:styleId="Style_42_ch" w:type="character">
    <w:name w:val="Подзаголовок1"/>
    <w:link w:val="Style_42"/>
    <w:rPr>
      <w:rFonts w:ascii="XO Thames" w:hAnsi="XO Thames"/>
      <w:i w:val="1"/>
      <w:color w:val="000000"/>
      <w:spacing w:val="0"/>
      <w:sz w:val="24"/>
    </w:rPr>
  </w:style>
  <w:style w:styleId="Style_43" w:type="paragraph">
    <w:name w:val="Header and Footer"/>
    <w:link w:val="Style_43_ch"/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toc 9"/>
    <w:next w:val="Style_8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Заголовок таблицы"/>
    <w:basedOn w:val="Style_3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3_ch"/>
    <w:link w:val="Style_46"/>
    <w:rPr>
      <w:b w:val="1"/>
    </w:rPr>
  </w:style>
  <w:style w:styleId="Style_47" w:type="paragraph">
    <w:name w:val="Contents 9"/>
    <w:link w:val="Style_47_ch"/>
    <w:rPr>
      <w:rFonts w:ascii="XO Thames" w:hAnsi="XO Thames"/>
      <w:sz w:val="28"/>
    </w:rPr>
  </w:style>
  <w:style w:styleId="Style_47_ch" w:type="character">
    <w:name w:val="Contents 9"/>
    <w:link w:val="Style_47"/>
    <w:rPr>
      <w:rFonts w:ascii="XO Thames" w:hAnsi="XO Thames"/>
      <w:sz w:val="28"/>
    </w:rPr>
  </w:style>
  <w:style w:styleId="Style_48" w:type="paragraph">
    <w:name w:val="Гиперссылка2"/>
    <w:link w:val="Style_48_ch"/>
    <w:rPr>
      <w:color w:val="0000FF"/>
      <w:u w:val="single"/>
    </w:rPr>
  </w:style>
  <w:style w:styleId="Style_48_ch" w:type="character">
    <w:name w:val="Гиперссылка2"/>
    <w:link w:val="Style_48"/>
    <w:rPr>
      <w:color w:val="0000FF"/>
      <w:u w:val="single"/>
    </w:rPr>
  </w:style>
  <w:style w:styleId="Style_49" w:type="paragraph">
    <w:name w:val="toc 8"/>
    <w:next w:val="Style_8"/>
    <w:link w:val="Style_49_ch"/>
    <w:uiPriority w:val="39"/>
    <w:pPr>
      <w:ind w:firstLine="0" w:left="1400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Заголовок 31"/>
    <w:link w:val="Style_50_ch"/>
    <w:rPr>
      <w:rFonts w:ascii="XO Thames" w:hAnsi="XO Thames"/>
      <w:b w:val="1"/>
      <w:color w:val="000000"/>
      <w:spacing w:val="0"/>
      <w:sz w:val="26"/>
    </w:rPr>
  </w:style>
  <w:style w:styleId="Style_50_ch" w:type="character">
    <w:name w:val="Заголовок 31"/>
    <w:link w:val="Style_50"/>
    <w:rPr>
      <w:rFonts w:ascii="XO Thames" w:hAnsi="XO Thames"/>
      <w:b w:val="1"/>
      <w:color w:val="000000"/>
      <w:spacing w:val="0"/>
      <w:sz w:val="26"/>
    </w:rPr>
  </w:style>
  <w:style w:styleId="Style_51" w:type="paragraph">
    <w:name w:val="Contents 3"/>
    <w:link w:val="Style_51_ch"/>
    <w:rPr>
      <w:rFonts w:ascii="XO Thames" w:hAnsi="XO Thames"/>
      <w:sz w:val="28"/>
    </w:rPr>
  </w:style>
  <w:style w:styleId="Style_51_ch" w:type="character">
    <w:name w:val="Contents 3"/>
    <w:link w:val="Style_51"/>
    <w:rPr>
      <w:rFonts w:ascii="XO Thames" w:hAnsi="XO Thames"/>
      <w:sz w:val="28"/>
    </w:rPr>
  </w:style>
  <w:style w:styleId="Style_52" w:type="paragraph">
    <w:name w:val="List"/>
    <w:basedOn w:val="Style_53"/>
    <w:link w:val="Style_52_ch"/>
  </w:style>
  <w:style w:styleId="Style_52_ch" w:type="character">
    <w:name w:val="List"/>
    <w:basedOn w:val="Style_53_ch"/>
    <w:link w:val="Style_52"/>
  </w:style>
  <w:style w:styleId="Style_54" w:type="paragraph">
    <w:name w:val="Заголовок1"/>
    <w:basedOn w:val="Style_25"/>
    <w:link w:val="Style_54_ch"/>
    <w:rPr>
      <w:rFonts w:ascii="Liberation Sans" w:hAnsi="Liberation Sans"/>
      <w:sz w:val="28"/>
    </w:rPr>
  </w:style>
  <w:style w:styleId="Style_54_ch" w:type="character">
    <w:name w:val="Заголовок1"/>
    <w:basedOn w:val="Style_25_ch"/>
    <w:link w:val="Style_54"/>
    <w:rPr>
      <w:rFonts w:ascii="Liberation Sans" w:hAnsi="Liberation Sans"/>
      <w:sz w:val="28"/>
    </w:rPr>
  </w:style>
  <w:style w:styleId="Style_53" w:type="paragraph">
    <w:name w:val="Body Text"/>
    <w:basedOn w:val="Style_8"/>
    <w:link w:val="Style_53_ch"/>
    <w:pPr>
      <w:spacing w:after="140" w:line="276" w:lineRule="auto"/>
      <w:ind/>
    </w:pPr>
  </w:style>
  <w:style w:styleId="Style_53_ch" w:type="character">
    <w:name w:val="Body Text"/>
    <w:basedOn w:val="Style_8_ch"/>
    <w:link w:val="Style_53"/>
  </w:style>
  <w:style w:styleId="Style_55" w:type="paragraph">
    <w:name w:val="toc 5"/>
    <w:next w:val="Style_8"/>
    <w:link w:val="Style_55_ch"/>
    <w:uiPriority w:val="39"/>
    <w:pPr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Заголовок 51"/>
    <w:link w:val="Style_56_ch"/>
    <w:rPr>
      <w:rFonts w:ascii="XO Thames" w:hAnsi="XO Thames"/>
      <w:b w:val="1"/>
      <w:color w:val="000000"/>
      <w:spacing w:val="0"/>
      <w:sz w:val="22"/>
    </w:rPr>
  </w:style>
  <w:style w:styleId="Style_56_ch" w:type="character">
    <w:name w:val="Заголовок 51"/>
    <w:link w:val="Style_56"/>
    <w:rPr>
      <w:rFonts w:ascii="XO Thames" w:hAnsi="XO Thames"/>
      <w:b w:val="1"/>
      <w:color w:val="000000"/>
      <w:spacing w:val="0"/>
      <w:sz w:val="22"/>
    </w:rPr>
  </w:style>
  <w:style w:styleId="Style_57" w:type="paragraph">
    <w:name w:val="Заголовок 11"/>
    <w:link w:val="Style_57_ch"/>
    <w:rPr>
      <w:rFonts w:ascii="XO Thames" w:hAnsi="XO Thames"/>
      <w:b w:val="1"/>
      <w:sz w:val="32"/>
    </w:rPr>
  </w:style>
  <w:style w:styleId="Style_57_ch" w:type="character">
    <w:name w:val="Заголовок 11"/>
    <w:link w:val="Style_57"/>
    <w:rPr>
      <w:rFonts w:ascii="XO Thames" w:hAnsi="XO Thames"/>
      <w:b w:val="1"/>
      <w:sz w:val="32"/>
    </w:rPr>
  </w:style>
  <w:style w:styleId="Style_58" w:type="paragraph">
    <w:name w:val="Колонтитул"/>
    <w:link w:val="Style_58_ch"/>
    <w:pPr>
      <w:ind/>
      <w:jc w:val="both"/>
    </w:pPr>
    <w:rPr>
      <w:rFonts w:ascii="XO Thames" w:hAnsi="XO Thames"/>
      <w:sz w:val="20"/>
    </w:rPr>
  </w:style>
  <w:style w:styleId="Style_58_ch" w:type="character">
    <w:name w:val="Колонтитул"/>
    <w:link w:val="Style_58"/>
    <w:rPr>
      <w:rFonts w:ascii="XO Thames" w:hAnsi="XO Thames"/>
      <w:sz w:val="20"/>
    </w:rPr>
  </w:style>
  <w:style w:styleId="Style_7" w:type="paragraph">
    <w:name w:val="List Paragraph"/>
    <w:basedOn w:val="Style_8"/>
    <w:link w:val="Style_7_ch"/>
    <w:pPr>
      <w:ind w:firstLine="0" w:left="720"/>
      <w:contextualSpacing w:val="1"/>
    </w:pPr>
  </w:style>
  <w:style w:styleId="Style_7_ch" w:type="character">
    <w:name w:val="List Paragraph"/>
    <w:basedOn w:val="Style_8_ch"/>
    <w:link w:val="Style_7"/>
  </w:style>
  <w:style w:styleId="Style_59" w:type="paragraph">
    <w:name w:val="footer"/>
    <w:basedOn w:val="Style_8"/>
    <w:link w:val="Style_5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9_ch" w:type="character">
    <w:name w:val="footer"/>
    <w:basedOn w:val="Style_8_ch"/>
    <w:link w:val="Style_59"/>
  </w:style>
  <w:style w:styleId="Style_60" w:type="paragraph">
    <w:name w:val="Subtitle"/>
    <w:link w:val="Style_60_ch"/>
    <w:uiPriority w:val="11"/>
    <w:qFormat/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61" w:type="paragraph">
    <w:name w:val="Contents 1"/>
    <w:link w:val="Style_61_ch"/>
    <w:rPr>
      <w:rFonts w:ascii="XO Thames" w:hAnsi="XO Thames"/>
      <w:b w:val="1"/>
      <w:sz w:val="28"/>
    </w:rPr>
  </w:style>
  <w:style w:styleId="Style_61_ch" w:type="character">
    <w:name w:val="Contents 1"/>
    <w:link w:val="Style_61"/>
    <w:rPr>
      <w:rFonts w:ascii="XO Thames" w:hAnsi="XO Thames"/>
      <w:b w:val="1"/>
      <w:sz w:val="28"/>
    </w:rPr>
  </w:style>
  <w:style w:styleId="Style_62" w:type="paragraph">
    <w:name w:val="Title"/>
    <w:link w:val="Style_62_ch"/>
    <w:uiPriority w:val="10"/>
    <w:qFormat/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next w:val="Style_8"/>
    <w:link w:val="Style_6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Верхний колонтитул1"/>
    <w:link w:val="Style_64_ch"/>
  </w:style>
  <w:style w:styleId="Style_64_ch" w:type="character">
    <w:name w:val="Верхний колонтитул1"/>
    <w:link w:val="Style_64"/>
  </w:style>
  <w:style w:styleId="Style_65" w:type="paragraph">
    <w:name w:val="Balloon Text"/>
    <w:basedOn w:val="Style_8"/>
    <w:link w:val="Style_65_ch"/>
    <w:pPr>
      <w:spacing w:after="0" w:line="240" w:lineRule="auto"/>
      <w:ind/>
    </w:pPr>
    <w:rPr>
      <w:rFonts w:ascii="Segoe UI" w:hAnsi="Segoe UI"/>
      <w:sz w:val="18"/>
    </w:rPr>
  </w:style>
  <w:style w:styleId="Style_65_ch" w:type="character">
    <w:name w:val="Balloon Text"/>
    <w:basedOn w:val="Style_8_ch"/>
    <w:link w:val="Style_65"/>
    <w:rPr>
      <w:rFonts w:ascii="Segoe UI" w:hAnsi="Segoe UI"/>
      <w:sz w:val="18"/>
    </w:rPr>
  </w:style>
  <w:style w:styleId="Style_66" w:type="paragraph">
    <w:name w:val="heading 2"/>
    <w:link w:val="Style_6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styleId="Style_67" w:type="paragraph">
    <w:name w:val="Contents 4"/>
    <w:link w:val="Style_67_ch"/>
    <w:rPr>
      <w:rFonts w:ascii="XO Thames" w:hAnsi="XO Thames"/>
      <w:sz w:val="28"/>
    </w:rPr>
  </w:style>
  <w:style w:styleId="Style_67_ch" w:type="character">
    <w:name w:val="Contents 4"/>
    <w:link w:val="Style_67"/>
    <w:rPr>
      <w:rFonts w:ascii="XO Thames" w:hAnsi="XO Thames"/>
      <w:sz w:val="28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2024-08-08T03:20:49Z</dcterms:modified>
</cp:coreProperties>
</file>